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5E1" w:rsidRPr="004400B5" w:rsidRDefault="008055E1" w:rsidP="008055E1">
      <w:pPr>
        <w:pStyle w:val="paragraph"/>
        <w:spacing w:before="0" w:beforeAutospacing="0" w:after="0" w:afterAutospacing="0" w:line="360" w:lineRule="auto"/>
        <w:jc w:val="center"/>
        <w:textAlignment w:val="baseline"/>
        <w:outlineLvl w:val="0"/>
        <w:rPr>
          <w:rStyle w:val="normaltextrun"/>
          <w:rFonts w:ascii="Arial" w:eastAsiaTheme="majorEastAsia" w:hAnsi="Arial" w:cs="Arial"/>
          <w:b/>
        </w:rPr>
      </w:pPr>
      <w:bookmarkStart w:id="0" w:name="_Toc233923058"/>
      <w:r w:rsidRPr="004400B5">
        <w:rPr>
          <w:rStyle w:val="normaltextrun"/>
          <w:rFonts w:ascii="Arial" w:eastAsiaTheme="majorEastAsia" w:hAnsi="Arial" w:cs="Arial"/>
          <w:b/>
        </w:rPr>
        <w:t xml:space="preserve">REVOLUTIONIZING EDUCATION: HARNESSING INNOVATIVE </w:t>
      </w:r>
    </w:p>
    <w:p w:rsidR="008055E1" w:rsidRPr="004400B5" w:rsidRDefault="008055E1" w:rsidP="008055E1">
      <w:pPr>
        <w:pStyle w:val="paragraph"/>
        <w:spacing w:before="0" w:beforeAutospacing="0" w:after="0" w:afterAutospacing="0" w:line="360" w:lineRule="auto"/>
        <w:jc w:val="center"/>
        <w:textAlignment w:val="baseline"/>
        <w:outlineLvl w:val="0"/>
        <w:rPr>
          <w:rStyle w:val="normaltextrun"/>
          <w:rFonts w:ascii="Arial" w:eastAsiaTheme="majorEastAsia" w:hAnsi="Arial" w:cs="Arial"/>
          <w:b/>
        </w:rPr>
      </w:pPr>
      <w:r w:rsidRPr="004400B5">
        <w:rPr>
          <w:rStyle w:val="normaltextrun"/>
          <w:rFonts w:ascii="Arial" w:eastAsiaTheme="majorEastAsia" w:hAnsi="Arial" w:cs="Arial"/>
          <w:b/>
        </w:rPr>
        <w:t>PEDAGOGIES AND LEADERSHIP IN 21</w:t>
      </w:r>
      <w:r w:rsidRPr="004400B5">
        <w:rPr>
          <w:rStyle w:val="normaltextrun"/>
          <w:rFonts w:ascii="Arial" w:eastAsiaTheme="majorEastAsia" w:hAnsi="Arial" w:cs="Arial"/>
          <w:b/>
          <w:vertAlign w:val="superscript"/>
        </w:rPr>
        <w:t>ST</w:t>
      </w:r>
      <w:r w:rsidRPr="004400B5">
        <w:rPr>
          <w:rStyle w:val="normaltextrun"/>
          <w:rFonts w:ascii="Arial" w:eastAsiaTheme="majorEastAsia" w:hAnsi="Arial" w:cs="Arial"/>
          <w:b/>
        </w:rPr>
        <w:t xml:space="preserve"> CENTURY STUDENTS IN NIGERIA.</w:t>
      </w:r>
      <w:bookmarkEnd w:id="0"/>
    </w:p>
    <w:p w:rsidR="008055E1" w:rsidRPr="004400B5" w:rsidRDefault="008055E1" w:rsidP="008055E1">
      <w:pPr>
        <w:spacing w:after="0" w:line="360" w:lineRule="auto"/>
        <w:jc w:val="center"/>
        <w:rPr>
          <w:rFonts w:ascii="Arial" w:hAnsi="Arial" w:cs="Arial"/>
          <w:b/>
          <w:bCs/>
          <w:sz w:val="24"/>
          <w:szCs w:val="24"/>
        </w:rPr>
      </w:pPr>
    </w:p>
    <w:p w:rsidR="008055E1" w:rsidRPr="004400B5" w:rsidRDefault="008055E1" w:rsidP="008055E1">
      <w:pPr>
        <w:spacing w:after="0" w:line="360" w:lineRule="auto"/>
        <w:jc w:val="center"/>
        <w:rPr>
          <w:rFonts w:ascii="Arial" w:hAnsi="Arial" w:cs="Arial"/>
          <w:b/>
          <w:bCs/>
          <w:sz w:val="24"/>
          <w:szCs w:val="24"/>
        </w:rPr>
      </w:pPr>
      <w:r w:rsidRPr="004400B5">
        <w:rPr>
          <w:rFonts w:ascii="Arial" w:hAnsi="Arial" w:cs="Arial"/>
          <w:b/>
          <w:bCs/>
          <w:sz w:val="24"/>
          <w:szCs w:val="24"/>
        </w:rPr>
        <w:t>Professor Paulinus Chijioke Okwelle, MNAE</w:t>
      </w:r>
    </w:p>
    <w:p w:rsidR="008055E1" w:rsidRPr="004400B5" w:rsidRDefault="008055E1" w:rsidP="008055E1">
      <w:pPr>
        <w:spacing w:after="0" w:line="360" w:lineRule="auto"/>
        <w:jc w:val="center"/>
        <w:rPr>
          <w:rFonts w:ascii="Arial" w:hAnsi="Arial" w:cs="Arial"/>
          <w:sz w:val="24"/>
          <w:szCs w:val="24"/>
        </w:rPr>
      </w:pPr>
      <w:r w:rsidRPr="004400B5">
        <w:rPr>
          <w:rFonts w:ascii="Arial" w:hAnsi="Arial" w:cs="Arial"/>
          <w:sz w:val="24"/>
          <w:szCs w:val="24"/>
        </w:rPr>
        <w:t>Executive Secretary</w:t>
      </w:r>
    </w:p>
    <w:p w:rsidR="008055E1" w:rsidRPr="004400B5" w:rsidRDefault="008055E1" w:rsidP="008055E1">
      <w:pPr>
        <w:spacing w:after="0" w:line="360" w:lineRule="auto"/>
        <w:jc w:val="center"/>
        <w:rPr>
          <w:rFonts w:ascii="Arial" w:hAnsi="Arial" w:cs="Arial"/>
          <w:sz w:val="24"/>
          <w:szCs w:val="24"/>
        </w:rPr>
      </w:pPr>
      <w:r w:rsidRPr="004400B5">
        <w:rPr>
          <w:rFonts w:ascii="Arial" w:hAnsi="Arial" w:cs="Arial"/>
          <w:sz w:val="24"/>
          <w:szCs w:val="24"/>
        </w:rPr>
        <w:t>National Commission for Colleges of Education (NCCE), Abuja.</w:t>
      </w:r>
    </w:p>
    <w:p w:rsidR="008055E1" w:rsidRPr="004400B5" w:rsidRDefault="008055E1" w:rsidP="008055E1">
      <w:pPr>
        <w:spacing w:after="0" w:line="240" w:lineRule="auto"/>
        <w:rPr>
          <w:rFonts w:ascii="Arial" w:hAnsi="Arial" w:cs="Arial"/>
          <w:sz w:val="24"/>
          <w:szCs w:val="24"/>
        </w:rPr>
      </w:pPr>
    </w:p>
    <w:p w:rsidR="008055E1" w:rsidRPr="004400B5" w:rsidRDefault="008055E1" w:rsidP="008055E1">
      <w:pPr>
        <w:spacing w:after="0" w:line="360" w:lineRule="auto"/>
        <w:rPr>
          <w:rFonts w:ascii="Arial" w:hAnsi="Arial" w:cs="Arial"/>
          <w:iCs/>
          <w:sz w:val="24"/>
          <w:szCs w:val="24"/>
        </w:rPr>
      </w:pPr>
    </w:p>
    <w:p w:rsidR="008055E1" w:rsidRPr="004400B5" w:rsidRDefault="008055E1" w:rsidP="008055E1">
      <w:pPr>
        <w:rPr>
          <w:rFonts w:ascii="Arial" w:hAnsi="Arial" w:cs="Arial"/>
          <w:b/>
          <w:bCs/>
          <w:sz w:val="24"/>
          <w:szCs w:val="24"/>
        </w:rPr>
      </w:pPr>
      <w:r w:rsidRPr="004400B5">
        <w:rPr>
          <w:rFonts w:ascii="Arial" w:hAnsi="Arial" w:cs="Arial"/>
          <w:b/>
          <w:bCs/>
          <w:sz w:val="24"/>
          <w:szCs w:val="24"/>
        </w:rPr>
        <w:t>Abstract</w:t>
      </w:r>
    </w:p>
    <w:p w:rsidR="008055E1" w:rsidRPr="004400B5" w:rsidRDefault="008055E1" w:rsidP="008055E1">
      <w:pPr>
        <w:spacing w:line="360" w:lineRule="auto"/>
        <w:jc w:val="both"/>
        <w:rPr>
          <w:rFonts w:ascii="Arial" w:hAnsi="Arial" w:cs="Arial"/>
          <w:sz w:val="24"/>
          <w:szCs w:val="24"/>
        </w:rPr>
      </w:pPr>
      <w:r w:rsidRPr="004400B5">
        <w:rPr>
          <w:rFonts w:ascii="Arial" w:hAnsi="Arial" w:cs="Arial"/>
          <w:sz w:val="24"/>
          <w:szCs w:val="24"/>
        </w:rPr>
        <w:t>The 21st century is marked by rapid technological innovation, globalization, and shifting socio-economic dynamics, all of which demand a fundamental rethinking of education. This keynote examines how Nigeria’s education system can be revolutionized by leveraging innovative pedagogies and cultivating leadership qualities among students. It underscores the inadequacy of traditional teaching methods in preparing learners for the challenges of a knowledge-driven, digital era. The paper explores the concepts of educational revolution, innovative pedagogy, and innovative leadership, emphasizing the need for learner-centered, technology-enabled approaches that foster critical thinking, creativity, collaboration, and adaptability. It also discusses the leadership capacities required by 21st-century students to thrive in a rapidly changing global environment. Recognizing the challenges facing Nigeria’s education sector such as inadequate infrastructure, outdated curricula, and insufficient teacher training the paper highlights the opportunities for transformation through pedagogical innovation and leadership development. It concludes by offering strategies to realign the Nigerian education system with global best practices, ensuring that students are empowered to compete and lead in a complex, interconnected world.</w:t>
      </w:r>
    </w:p>
    <w:p w:rsidR="008055E1" w:rsidRPr="004400B5" w:rsidRDefault="008055E1" w:rsidP="008055E1">
      <w:pPr>
        <w:spacing w:line="360" w:lineRule="auto"/>
        <w:jc w:val="both"/>
        <w:rPr>
          <w:rFonts w:ascii="Arial" w:hAnsi="Arial" w:cs="Arial"/>
          <w:sz w:val="24"/>
          <w:szCs w:val="24"/>
        </w:rPr>
      </w:pPr>
      <w:r w:rsidRPr="004400B5">
        <w:rPr>
          <w:rFonts w:ascii="Arial" w:hAnsi="Arial" w:cs="Arial"/>
          <w:b/>
          <w:bCs/>
          <w:sz w:val="24"/>
          <w:szCs w:val="24"/>
        </w:rPr>
        <w:t>Keywords:</w:t>
      </w:r>
      <w:r w:rsidRPr="004400B5">
        <w:rPr>
          <w:rFonts w:ascii="Arial" w:hAnsi="Arial" w:cs="Arial"/>
          <w:sz w:val="24"/>
          <w:szCs w:val="24"/>
        </w:rPr>
        <w:t xml:space="preserve"> Innovative Pedagogy, 21st-Century Skills, Educational Leadership, Curriculum Transformation, Technology-Enhanced Learning</w:t>
      </w:r>
    </w:p>
    <w:p w:rsidR="008055E1" w:rsidRPr="004400B5" w:rsidRDefault="008055E1" w:rsidP="008055E1">
      <w:pPr>
        <w:rPr>
          <w:rFonts w:ascii="Arial" w:eastAsia="Times New Roman" w:hAnsi="Arial" w:cs="Arial"/>
          <w:b/>
          <w:bCs/>
          <w:sz w:val="24"/>
          <w:szCs w:val="24"/>
        </w:rPr>
      </w:pPr>
    </w:p>
    <w:p w:rsidR="008055E1" w:rsidRPr="004400B5" w:rsidRDefault="008055E1" w:rsidP="008055E1">
      <w:pPr>
        <w:rPr>
          <w:rFonts w:ascii="Arial" w:eastAsia="Times New Roman" w:hAnsi="Arial" w:cs="Arial"/>
          <w:b/>
          <w:bCs/>
          <w:sz w:val="24"/>
          <w:szCs w:val="24"/>
        </w:rPr>
      </w:pPr>
    </w:p>
    <w:p w:rsidR="008055E1" w:rsidRPr="004400B5" w:rsidRDefault="008055E1" w:rsidP="008055E1">
      <w:pPr>
        <w:rPr>
          <w:rFonts w:ascii="Arial" w:eastAsia="Times New Roman" w:hAnsi="Arial" w:cs="Arial"/>
          <w:b/>
          <w:bCs/>
          <w:sz w:val="24"/>
          <w:szCs w:val="24"/>
        </w:rPr>
      </w:pP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lastRenderedPageBreak/>
        <w:t>Introduction</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Education remains the cornerstone of societal progress, the catalyst for human capital development, and the engine for national transformation. According to UNESCO (2014), education transcends the mere acquisition of cognitive knowledge; it encompasses the development of emotional, social, and practical competencies necessary for individual empowerment and collective advancement.</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In the 21st century, societies are undergoing rapid changes driven by globalization, technological disruption, and shifting socio-economic dynamics. These transformations demand a fundamental rethinking of educational structures and pedagogical philosophies. As Okonkwo and Adebayo (2022) note, “The Nigerian education system must evolve from passive knowledge transfer to active knowledge creation and application if it is to remain relevant in a knowledge-driven global economy.”</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Today’s learners digital natives immersed in a hyper-connected world must be equipped not only with content knowledge but also with critical life skills such as creativity, emotional intelligence, adaptability, and leadership. Technological tools such as AI, virtual reality, and digital platforms offer powerful opportunities for transforming traditional classrooms into interactive, personalized, and learner-centered environments (Udo &amp; Ibrahim, 2023). However, innovation in pedagogy must be matched with visionary leadership. Leadership in education today is less about authority and more about inspiring innovation, collaboration, and transformation. As Simon (2022) emphasized, “The leadership philosophies of the past are inadequate to respond to the volatility, uncertainty, complexity, and ambiguity (VUCA) of today’s education environment.” In the Nigerian context, where challenges such as outdated curricula, insufficient infrastructure, and untrained teachers persist (Okwelle, 2024), the need for reform is even more pressing. Yet, as Nwankwo and Ayoola (2023) argue, “These structural deficiencies, while formidable, also provide fertile ground for systemic innovation and bold experimentation.”</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Indeed, a visionary teacher can act as a transformative agent. Joseph and Matthew (2019) observed that “a committed educator can convert a basic classroom into a hub of inquiry, collaboration, and social transformation.” Such educators are key to fostering the </w:t>
      </w:r>
      <w:r w:rsidRPr="004400B5">
        <w:rPr>
          <w:rFonts w:ascii="Arial" w:eastAsia="Times New Roman" w:hAnsi="Arial" w:cs="Arial"/>
          <w:sz w:val="24"/>
          <w:szCs w:val="24"/>
        </w:rPr>
        <w:lastRenderedPageBreak/>
        <w:t>leadership capacities of students in real-life contexts. Therefore, this study critically examines how innovative pedagogies and leadership development can revolutionize Nigerian education and prepare students for the 21st century. It highlights pedagogical shifts, curriculum reform, and leadership strategies necessary for this transformation, offering a roadmap toward a dynamic, inclusive, and future-ready education system. To revolutionize education means to fundamentally reshape its structures, purposes, and methods. It signifies a transition from rigid, exam-oriented systems toward holistic, learner-centered, and future-facing models. According to Bello and Hassan (2021), “Revolutionising education in Nigeria involves embracing pedagogical flexibility, technological integration, and lifelong learning paradigms that align with the demands of the digital age.” This approach values the development of not just academic proficiency, but of creativity, critical thinking, empathy, and problem-solving.</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Pedagogy refers to the art and science of teaching. Innovative pedagogy involves deploying modern, evidence-based strategies that make learning more engaging, interactive, and personalized. These include Project-Based Learning: Encouraging students to explore real-world problems. Flipped Classrooms: Reversing traditional instruction by delivering content online and using classroom time for interactive activities. Gamification and Digital Tools: Leveraging apps, simulations, and games to deepen engagement.</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According to Obiekwe and Salami (2024), “Innovative pedagogy in Nigeria’s schools must be context-sensitive, technologically enriched, and focused on equipping students with transferable life skills.” In education, leadership is the ability to inspire vision, guide collective effort, and drive sustainable change. Innovative leadership is defined by adaptability, openness to change, collaboration, and a strategic focus on long-term transformation. It fosters environments where experimentation is encouraged, and learning is continuous. For students, innovative leadership development means nurturing emotional intelligence, ethical reasoning, collaborative problem-solving, and global citizenship. Adebisi (2025) asserts that “21st-century learners must be groomed not just as job seekers but as changemakers, capable of innovating and leading in diverse environments.” These are learners born into a digital, globalized world. They face unique </w:t>
      </w:r>
      <w:r w:rsidRPr="004400B5">
        <w:rPr>
          <w:rFonts w:ascii="Arial" w:eastAsia="Times New Roman" w:hAnsi="Arial" w:cs="Arial"/>
          <w:sz w:val="24"/>
          <w:szCs w:val="24"/>
        </w:rPr>
        <w:lastRenderedPageBreak/>
        <w:t>challenges climate change, AI disruption, inequality and need a distinct skillset Critical thinking and problem-solving, Communication and collaboration, Digital literacy and adaptability, Entrepreneurial mindset Olowu and Yusuf (2023) emphasize that “21st-century Nigerian students must be prepared to navigate uncertainties and participate meaningfully in civic and economic life. This calls for a complete overhaul of our pedagogical orientation.”</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Essentials of Innovative Pedagogies: A New Paradigm</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To transition from a static educational structure to a dynamic, responsive, and learner-centered framework in Nigeria, there must be a strategic adoption of innovative pedagogical practices. These practices are necessary to develop the holistic competencies required by 21st-century learners.</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Student-Centered Learning</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Student-centered learning shifts the focus from the teacher to the learner, emphasizing autonomy, self-direction, and individualized engagement. According to Ogundele &amp; Abubakar (2023), Nigerian classrooms that adopt student-centered strategies see increased student motivation and critical thinking outcomes. Approaches such as </w:t>
      </w:r>
      <w:r w:rsidRPr="004400B5">
        <w:rPr>
          <w:rFonts w:ascii="Arial" w:eastAsia="Times New Roman" w:hAnsi="Arial" w:cs="Arial"/>
          <w:iCs/>
          <w:sz w:val="24"/>
          <w:szCs w:val="24"/>
        </w:rPr>
        <w:t>personalized learning plans</w:t>
      </w:r>
      <w:r w:rsidRPr="004400B5">
        <w:rPr>
          <w:rFonts w:ascii="Arial" w:eastAsia="Times New Roman" w:hAnsi="Arial" w:cs="Arial"/>
          <w:sz w:val="24"/>
          <w:szCs w:val="24"/>
        </w:rPr>
        <w:t xml:space="preserve">, </w:t>
      </w:r>
      <w:r w:rsidRPr="004400B5">
        <w:rPr>
          <w:rFonts w:ascii="Arial" w:eastAsia="Times New Roman" w:hAnsi="Arial" w:cs="Arial"/>
          <w:iCs/>
          <w:sz w:val="24"/>
          <w:szCs w:val="24"/>
        </w:rPr>
        <w:t>flipped instruction</w:t>
      </w:r>
      <w:r w:rsidRPr="004400B5">
        <w:rPr>
          <w:rFonts w:ascii="Arial" w:eastAsia="Times New Roman" w:hAnsi="Arial" w:cs="Arial"/>
          <w:sz w:val="24"/>
          <w:szCs w:val="24"/>
        </w:rPr>
        <w:t xml:space="preserve">, and </w:t>
      </w:r>
      <w:r w:rsidRPr="004400B5">
        <w:rPr>
          <w:rFonts w:ascii="Arial" w:eastAsia="Times New Roman" w:hAnsi="Arial" w:cs="Arial"/>
          <w:iCs/>
          <w:sz w:val="24"/>
          <w:szCs w:val="24"/>
        </w:rPr>
        <w:t>collaborative problem-solving</w:t>
      </w:r>
      <w:r w:rsidRPr="004400B5">
        <w:rPr>
          <w:rFonts w:ascii="Arial" w:eastAsia="Times New Roman" w:hAnsi="Arial" w:cs="Arial"/>
          <w:sz w:val="24"/>
          <w:szCs w:val="24"/>
        </w:rPr>
        <w:t xml:space="preserve"> promote deeper learning and ownership. “Learning must be seen as a shared journey between the learner and the facilitator, with students encouraged to construct knowledge through inquiry and collaboration.” </w:t>
      </w:r>
      <w:r w:rsidRPr="004400B5">
        <w:rPr>
          <w:rFonts w:ascii="Arial" w:eastAsia="Times New Roman" w:hAnsi="Arial" w:cs="Arial"/>
          <w:iCs/>
          <w:sz w:val="24"/>
          <w:szCs w:val="24"/>
        </w:rPr>
        <w:t>Ogundele &amp; Abubakar, 2023</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Technology Integration</w:t>
      </w:r>
    </w:p>
    <w:p w:rsidR="008055E1" w:rsidRPr="004400B5" w:rsidRDefault="008055E1" w:rsidP="008055E1">
      <w:pPr>
        <w:spacing w:before="100" w:beforeAutospacing="1" w:after="100" w:afterAutospacing="1" w:line="360" w:lineRule="auto"/>
        <w:jc w:val="both"/>
        <w:rPr>
          <w:rFonts w:ascii="Arial" w:eastAsia="Times New Roman" w:hAnsi="Arial" w:cs="Arial"/>
          <w:iCs/>
          <w:sz w:val="24"/>
          <w:szCs w:val="24"/>
        </w:rPr>
      </w:pPr>
      <w:r w:rsidRPr="004400B5">
        <w:rPr>
          <w:rFonts w:ascii="Arial" w:eastAsia="Times New Roman" w:hAnsi="Arial" w:cs="Arial"/>
          <w:sz w:val="24"/>
          <w:szCs w:val="24"/>
        </w:rPr>
        <w:t xml:space="preserve">Technology is a catalyst for innovative pedagogy. Tools like digital whiteboards, e-learning platforms, and mobile apps expand access and diversify instructional delivery. Chukwuemeka &amp; Idris (2022) stress that integrating technology promotes equity and helps bridge urban-rural educational divides. “Without ICT literacy and access, we risk deepening educational inequality in Nigeria.”  </w:t>
      </w:r>
      <w:r w:rsidRPr="004400B5">
        <w:rPr>
          <w:rFonts w:ascii="Arial" w:eastAsia="Times New Roman" w:hAnsi="Arial" w:cs="Arial"/>
          <w:iCs/>
          <w:sz w:val="24"/>
          <w:szCs w:val="24"/>
        </w:rPr>
        <w:t>Chukwuemeka &amp; Idris, 2022</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lastRenderedPageBreak/>
        <w:t>STEM Education</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STEM education is foundational for global competitiveness. Nwachukwu &amp; Okeke (2021) advocate for STEM integration through robotics clubs, coding camps, and virtual labs in Nigerian schools. STEM ignites curiosity and positions learners for innovation-led careers. “STEM is no longer a luxury; it is the language of economic participation in the digital age.” </w:t>
      </w:r>
      <w:r w:rsidRPr="004400B5">
        <w:rPr>
          <w:rFonts w:ascii="Arial" w:eastAsia="Times New Roman" w:hAnsi="Arial" w:cs="Arial"/>
          <w:iCs/>
          <w:sz w:val="24"/>
          <w:szCs w:val="24"/>
        </w:rPr>
        <w:t>Nwachukwu &amp; Okeke, 2021</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Critical Thinking and Problem-Solving</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According to Ayodele (2022), Nigerian education must prioritize higher-order thinking over rote memorization. Techniques such as debates, case studies, and inquiry-based learning foster independent thought and real-world problem-solving capacity. “Educating students to think is more valuable than training them to remember.” </w:t>
      </w:r>
      <w:r w:rsidRPr="004400B5">
        <w:rPr>
          <w:rFonts w:ascii="Arial" w:eastAsia="Times New Roman" w:hAnsi="Arial" w:cs="Arial"/>
          <w:iCs/>
          <w:sz w:val="24"/>
          <w:szCs w:val="24"/>
        </w:rPr>
        <w:t>Ayodele, 2022</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Work and Life Skills</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Beyond academic excellence, students must possess emotional intelligence, financial literacy, communication, and teamwork skills. Ojo &amp; Nwankwo (2023) identify these as foundational for both employability and civic responsibility. “The workplace of the future demands collaboration, resilience, and emotional intelligence as much as technical competence.”  </w:t>
      </w:r>
      <w:r w:rsidRPr="004400B5">
        <w:rPr>
          <w:rFonts w:ascii="Arial" w:eastAsia="Times New Roman" w:hAnsi="Arial" w:cs="Arial"/>
          <w:iCs/>
          <w:sz w:val="24"/>
          <w:szCs w:val="24"/>
        </w:rPr>
        <w:t>Ojo &amp; Nwankwo, 2023</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Mastery of Tools for Work</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With remote work and digital collaboration becoming the norm, Nigerian learners must master ICT tools like productivity software, virtual meeting platforms, and content creation apps. Olalekan (2024) emphasizes integrating tech skills from primary through tertiary education to close global skill gaps. “Mastery of digital tools is the new literacy of the 21st century.” </w:t>
      </w:r>
      <w:r w:rsidRPr="004400B5">
        <w:rPr>
          <w:rFonts w:ascii="Arial" w:eastAsia="Times New Roman" w:hAnsi="Arial" w:cs="Arial"/>
          <w:iCs/>
          <w:sz w:val="24"/>
          <w:szCs w:val="24"/>
        </w:rPr>
        <w:t>Olalekan, 2024</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Innovative Pedagogical Models: The Engine of Transformation</w:t>
      </w:r>
    </w:p>
    <w:p w:rsidR="008055E1" w:rsidRPr="004400B5" w:rsidRDefault="008055E1" w:rsidP="008055E1">
      <w:p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sz w:val="24"/>
          <w:szCs w:val="24"/>
        </w:rPr>
        <w:t>Innovative models are instructional frameworks that redefine how learning is delivered and experienced:</w:t>
      </w:r>
    </w:p>
    <w:p w:rsidR="008055E1" w:rsidRPr="004400B5" w:rsidRDefault="008055E1" w:rsidP="008055E1">
      <w:pPr>
        <w:pStyle w:val="ListParagraph"/>
        <w:numPr>
          <w:ilvl w:val="0"/>
          <w:numId w:val="4"/>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b/>
          <w:bCs/>
          <w:sz w:val="24"/>
          <w:szCs w:val="24"/>
        </w:rPr>
        <w:lastRenderedPageBreak/>
        <w:t xml:space="preserve"> Blended Learning</w:t>
      </w:r>
      <w:r w:rsidRPr="004400B5">
        <w:rPr>
          <w:rFonts w:ascii="Arial" w:eastAsia="Times New Roman" w:hAnsi="Arial" w:cs="Arial"/>
          <w:sz w:val="24"/>
          <w:szCs w:val="24"/>
        </w:rPr>
        <w:t>: Combines face-to-face and online learning, allowing personalization and flexibility (e.g., Google Classroom, Moodle).</w:t>
      </w:r>
    </w:p>
    <w:p w:rsidR="008055E1" w:rsidRPr="004400B5" w:rsidRDefault="008055E1" w:rsidP="008055E1">
      <w:pPr>
        <w:numPr>
          <w:ilvl w:val="0"/>
          <w:numId w:val="4"/>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b/>
          <w:bCs/>
          <w:sz w:val="24"/>
          <w:szCs w:val="24"/>
        </w:rPr>
        <w:t>Project-Based Learning (PBL)</w:t>
      </w:r>
      <w:r w:rsidRPr="004400B5">
        <w:rPr>
          <w:rFonts w:ascii="Arial" w:eastAsia="Times New Roman" w:hAnsi="Arial" w:cs="Arial"/>
          <w:sz w:val="24"/>
          <w:szCs w:val="24"/>
        </w:rPr>
        <w:t>: Encourages learners to solve real-world problems collaboratively.</w:t>
      </w:r>
    </w:p>
    <w:p w:rsidR="008055E1" w:rsidRPr="004400B5" w:rsidRDefault="008055E1" w:rsidP="008055E1">
      <w:pPr>
        <w:numPr>
          <w:ilvl w:val="0"/>
          <w:numId w:val="4"/>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b/>
          <w:bCs/>
          <w:sz w:val="24"/>
          <w:szCs w:val="24"/>
        </w:rPr>
        <w:t xml:space="preserve"> Flipped Classroom</w:t>
      </w:r>
      <w:r w:rsidRPr="004400B5">
        <w:rPr>
          <w:rFonts w:ascii="Arial" w:eastAsia="Times New Roman" w:hAnsi="Arial" w:cs="Arial"/>
          <w:sz w:val="24"/>
          <w:szCs w:val="24"/>
        </w:rPr>
        <w:t>: Inverts the traditional model; students study at home and practice in class.</w:t>
      </w:r>
    </w:p>
    <w:p w:rsidR="008055E1" w:rsidRPr="004400B5" w:rsidRDefault="008055E1" w:rsidP="008055E1">
      <w:pPr>
        <w:numPr>
          <w:ilvl w:val="0"/>
          <w:numId w:val="4"/>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b/>
          <w:bCs/>
          <w:sz w:val="24"/>
          <w:szCs w:val="24"/>
        </w:rPr>
        <w:t>Gamification</w:t>
      </w:r>
      <w:r w:rsidRPr="004400B5">
        <w:rPr>
          <w:rFonts w:ascii="Arial" w:eastAsia="Times New Roman" w:hAnsi="Arial" w:cs="Arial"/>
          <w:sz w:val="24"/>
          <w:szCs w:val="24"/>
        </w:rPr>
        <w:t>: Applies game elements to enhance motivation and engagement (e.g., badges, leaderboards).</w:t>
      </w:r>
    </w:p>
    <w:p w:rsidR="008055E1" w:rsidRPr="004400B5" w:rsidRDefault="008055E1" w:rsidP="008055E1">
      <w:pPr>
        <w:numPr>
          <w:ilvl w:val="0"/>
          <w:numId w:val="4"/>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b/>
          <w:bCs/>
          <w:sz w:val="24"/>
          <w:szCs w:val="24"/>
        </w:rPr>
        <w:t xml:space="preserve"> Experiential Learning</w:t>
      </w:r>
      <w:r w:rsidRPr="004400B5">
        <w:rPr>
          <w:rFonts w:ascii="Arial" w:eastAsia="Times New Roman" w:hAnsi="Arial" w:cs="Arial"/>
          <w:sz w:val="24"/>
          <w:szCs w:val="24"/>
        </w:rPr>
        <w:t xml:space="preserve">: Connects theory to practice through internships, simulations, and fieldwork. “Active learning methods make learners co-creators of knowledge rather than passive recipients.”  </w:t>
      </w:r>
      <w:r w:rsidRPr="004400B5">
        <w:rPr>
          <w:rFonts w:ascii="Arial" w:eastAsia="Times New Roman" w:hAnsi="Arial" w:cs="Arial"/>
          <w:iCs/>
          <w:sz w:val="24"/>
          <w:szCs w:val="24"/>
        </w:rPr>
        <w:t>Ibrahim &amp; Eze, 2022</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Required Innovative Leadership Skills in 21st-Century Students</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Leadership today is distributed and situational. Nigerian students must acquire the following leadership skills</w:t>
      </w:r>
    </w:p>
    <w:p w:rsidR="008055E1" w:rsidRPr="004400B5" w:rsidRDefault="008055E1" w:rsidP="008055E1">
      <w:pPr>
        <w:pStyle w:val="ListParagraph"/>
        <w:numPr>
          <w:ilvl w:val="0"/>
          <w:numId w:val="5"/>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b/>
          <w:bCs/>
          <w:sz w:val="24"/>
          <w:szCs w:val="24"/>
        </w:rPr>
        <w:t xml:space="preserve"> Creativity and Innovation</w:t>
      </w:r>
      <w:r w:rsidRPr="004400B5">
        <w:rPr>
          <w:rFonts w:ascii="Arial" w:eastAsia="Times New Roman" w:hAnsi="Arial" w:cs="Arial"/>
          <w:sz w:val="24"/>
          <w:szCs w:val="24"/>
        </w:rPr>
        <w:t xml:space="preserve"> – For generating new ideas and navigating complexity.</w:t>
      </w:r>
    </w:p>
    <w:p w:rsidR="008055E1" w:rsidRPr="004400B5" w:rsidRDefault="008055E1" w:rsidP="008055E1">
      <w:pPr>
        <w:pStyle w:val="ListParagraph"/>
        <w:numPr>
          <w:ilvl w:val="0"/>
          <w:numId w:val="5"/>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b/>
          <w:bCs/>
          <w:sz w:val="24"/>
          <w:szCs w:val="24"/>
        </w:rPr>
        <w:t>Critical Thinking</w:t>
      </w:r>
      <w:r w:rsidRPr="004400B5">
        <w:rPr>
          <w:rFonts w:ascii="Arial" w:eastAsia="Times New Roman" w:hAnsi="Arial" w:cs="Arial"/>
          <w:sz w:val="24"/>
          <w:szCs w:val="24"/>
        </w:rPr>
        <w:t xml:space="preserve"> – For informed and analytical decision-making.</w:t>
      </w:r>
    </w:p>
    <w:p w:rsidR="008055E1" w:rsidRPr="004400B5" w:rsidRDefault="008055E1" w:rsidP="008055E1">
      <w:pPr>
        <w:pStyle w:val="ListParagraph"/>
        <w:numPr>
          <w:ilvl w:val="0"/>
          <w:numId w:val="5"/>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b/>
          <w:bCs/>
          <w:sz w:val="24"/>
          <w:szCs w:val="24"/>
        </w:rPr>
        <w:t>Adaptability and Resilience</w:t>
      </w:r>
      <w:r w:rsidRPr="004400B5">
        <w:rPr>
          <w:rFonts w:ascii="Arial" w:eastAsia="Times New Roman" w:hAnsi="Arial" w:cs="Arial"/>
          <w:sz w:val="24"/>
          <w:szCs w:val="24"/>
        </w:rPr>
        <w:t xml:space="preserve"> – Essential in uncertain and changing environments.</w:t>
      </w:r>
    </w:p>
    <w:p w:rsidR="008055E1" w:rsidRPr="004400B5" w:rsidRDefault="008055E1" w:rsidP="008055E1">
      <w:pPr>
        <w:pStyle w:val="ListParagraph"/>
        <w:numPr>
          <w:ilvl w:val="0"/>
          <w:numId w:val="5"/>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b/>
          <w:bCs/>
          <w:sz w:val="24"/>
          <w:szCs w:val="24"/>
        </w:rPr>
        <w:t>Collaboration and Communication</w:t>
      </w:r>
      <w:r w:rsidRPr="004400B5">
        <w:rPr>
          <w:rFonts w:ascii="Arial" w:eastAsia="Times New Roman" w:hAnsi="Arial" w:cs="Arial"/>
          <w:sz w:val="24"/>
          <w:szCs w:val="24"/>
        </w:rPr>
        <w:t xml:space="preserve"> – Especially across cultures and digital platforms.</w:t>
      </w:r>
    </w:p>
    <w:p w:rsidR="008055E1" w:rsidRPr="004400B5" w:rsidRDefault="008055E1" w:rsidP="008055E1">
      <w:pPr>
        <w:pStyle w:val="ListParagraph"/>
        <w:numPr>
          <w:ilvl w:val="0"/>
          <w:numId w:val="5"/>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b/>
          <w:bCs/>
          <w:sz w:val="24"/>
          <w:szCs w:val="24"/>
        </w:rPr>
        <w:t xml:space="preserve"> Ethical Leadership</w:t>
      </w:r>
      <w:r w:rsidRPr="004400B5">
        <w:rPr>
          <w:rFonts w:ascii="Arial" w:eastAsia="Times New Roman" w:hAnsi="Arial" w:cs="Arial"/>
          <w:sz w:val="24"/>
          <w:szCs w:val="24"/>
        </w:rPr>
        <w:t xml:space="preserve"> – Grounded in integrity and social justice.</w:t>
      </w:r>
    </w:p>
    <w:p w:rsidR="008055E1" w:rsidRPr="004400B5" w:rsidRDefault="008055E1" w:rsidP="008055E1">
      <w:pPr>
        <w:pStyle w:val="ListParagraph"/>
        <w:numPr>
          <w:ilvl w:val="0"/>
          <w:numId w:val="5"/>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b/>
          <w:bCs/>
          <w:sz w:val="24"/>
          <w:szCs w:val="24"/>
        </w:rPr>
        <w:t>Emotional Intelligence (EI)</w:t>
      </w:r>
      <w:r w:rsidRPr="004400B5">
        <w:rPr>
          <w:rFonts w:ascii="Arial" w:eastAsia="Times New Roman" w:hAnsi="Arial" w:cs="Arial"/>
          <w:sz w:val="24"/>
          <w:szCs w:val="24"/>
        </w:rPr>
        <w:t xml:space="preserve"> – To lead with empathy and build strong relationships.</w:t>
      </w:r>
    </w:p>
    <w:p w:rsidR="008055E1" w:rsidRPr="004400B5" w:rsidRDefault="008055E1" w:rsidP="008055E1">
      <w:pPr>
        <w:pStyle w:val="ListParagraph"/>
        <w:numPr>
          <w:ilvl w:val="0"/>
          <w:numId w:val="5"/>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b/>
          <w:bCs/>
          <w:sz w:val="24"/>
          <w:szCs w:val="24"/>
        </w:rPr>
        <w:t xml:space="preserve"> Tech Savviness</w:t>
      </w:r>
      <w:r w:rsidRPr="004400B5">
        <w:rPr>
          <w:rFonts w:ascii="Arial" w:eastAsia="Times New Roman" w:hAnsi="Arial" w:cs="Arial"/>
          <w:sz w:val="24"/>
          <w:szCs w:val="24"/>
        </w:rPr>
        <w:t xml:space="preserve"> – Competence in digital tools and platforms.</w:t>
      </w:r>
    </w:p>
    <w:p w:rsidR="008055E1" w:rsidRPr="004400B5" w:rsidRDefault="008055E1" w:rsidP="008055E1">
      <w:pPr>
        <w:pStyle w:val="ListParagraph"/>
        <w:numPr>
          <w:ilvl w:val="0"/>
          <w:numId w:val="5"/>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b/>
          <w:bCs/>
          <w:sz w:val="24"/>
          <w:szCs w:val="24"/>
        </w:rPr>
        <w:t xml:space="preserve"> Global Awareness</w:t>
      </w:r>
      <w:r w:rsidRPr="004400B5">
        <w:rPr>
          <w:rFonts w:ascii="Arial" w:eastAsia="Times New Roman" w:hAnsi="Arial" w:cs="Arial"/>
          <w:sz w:val="24"/>
          <w:szCs w:val="24"/>
        </w:rPr>
        <w:t xml:space="preserve"> – Understanding global interdependencies and cultural contexts. “Nigerian learners must be cultivated not only as job seekers but as leaders and innovators ready to contribute globally.” </w:t>
      </w:r>
      <w:r w:rsidRPr="004400B5">
        <w:rPr>
          <w:rFonts w:ascii="Arial" w:eastAsia="Times New Roman" w:hAnsi="Arial" w:cs="Arial"/>
          <w:iCs/>
          <w:sz w:val="24"/>
          <w:szCs w:val="24"/>
        </w:rPr>
        <w:t>Akinola &amp; Musa, 2025</w:t>
      </w:r>
    </w:p>
    <w:p w:rsidR="008055E1" w:rsidRPr="004400B5" w:rsidRDefault="008055E1" w:rsidP="008055E1">
      <w:pPr>
        <w:pStyle w:val="ListParagraph"/>
        <w:spacing w:before="100" w:beforeAutospacing="1" w:after="100" w:afterAutospacing="1" w:line="360" w:lineRule="auto"/>
        <w:ind w:left="1080"/>
        <w:rPr>
          <w:rFonts w:ascii="Arial" w:eastAsia="Times New Roman" w:hAnsi="Arial" w:cs="Arial"/>
          <w:sz w:val="24"/>
          <w:szCs w:val="24"/>
        </w:rPr>
      </w:pP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lastRenderedPageBreak/>
        <w:t>Statement of the problem</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Despite the global shift toward 21st-century learning, Nigeria’s education system continues to grapple with outdated pedagogical practices, teacher-centered instruction, and rigid curricula that do not adequately foster critical thinking, creativity, problem-solving, or digital literacy key competencies necessary for success in the modern world. According to UNESCO (2023), less than 30% of schools in sub-Saharan Africa integrate technology or project-based learning approaches effectively in classrooms. Nigerian students often perform below global averages in innovation-driven assessments due to a lack of exposure to transformative educational experiences and leadership development opportunities. Educational leadership remains largely bureaucratic and reactive rather than visionary or instructional. This has hindered systemic change and the scaling of innovative practices. Principals and administrators are rarely trained in the pedagogical leadership skills needed to promote collaborative learning environments or to guide teachers in adopting modern methods. As a result, schools struggle to prepare students for the dynamic demands of the 21st century workplace and civic life.</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This research is therefore concerned with understanding how innovative pedagogies such as flipped classrooms, inquiry-based learning, collaborative learning, and technology integration coupled with effective educational leadership, can be harnessed to revolutionize the educational experience and learning outcomes for Nigerian students. The absence of widespread empirical data linking leadership practices with student-centered innovation in Nigeria’s schools presents a key gap this study seeks to fill.</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Purpose of the Study</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primary purpose of this study is to explore and evaluate how innovative pedagogical practices and strategic educational leadership can be leveraged to transform education in Nigeria and better prepare students with 21st-century competencies. Specifically, the study aims to:</w:t>
      </w:r>
    </w:p>
    <w:p w:rsidR="008055E1" w:rsidRPr="004400B5" w:rsidRDefault="008055E1" w:rsidP="008055E1">
      <w:pPr>
        <w:pStyle w:val="ListParagraph"/>
        <w:numPr>
          <w:ilvl w:val="0"/>
          <w:numId w:val="1"/>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sz w:val="24"/>
          <w:szCs w:val="24"/>
        </w:rPr>
        <w:t>Examine the current state of pedagogical practices in Nigerian schools and their alignment with global 21st-century education frameworks.</w:t>
      </w:r>
    </w:p>
    <w:p w:rsidR="008055E1" w:rsidRPr="004400B5" w:rsidRDefault="008055E1" w:rsidP="008055E1">
      <w:pPr>
        <w:numPr>
          <w:ilvl w:val="0"/>
          <w:numId w:val="1"/>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sz w:val="24"/>
          <w:szCs w:val="24"/>
        </w:rPr>
        <w:lastRenderedPageBreak/>
        <w:t>Investigate the role of school leadership in fostering and implementing innovative teaching methods.</w:t>
      </w:r>
    </w:p>
    <w:p w:rsidR="008055E1" w:rsidRPr="004400B5" w:rsidRDefault="008055E1" w:rsidP="008055E1">
      <w:pPr>
        <w:numPr>
          <w:ilvl w:val="0"/>
          <w:numId w:val="1"/>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sz w:val="24"/>
          <w:szCs w:val="24"/>
        </w:rPr>
        <w:t>Analyze the impact of innovative pedagogy on student engagement, creativity, collaboration, and academic performance.</w:t>
      </w:r>
    </w:p>
    <w:p w:rsidR="008055E1" w:rsidRPr="004400B5" w:rsidRDefault="008055E1" w:rsidP="008055E1">
      <w:pPr>
        <w:numPr>
          <w:ilvl w:val="0"/>
          <w:numId w:val="1"/>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sz w:val="24"/>
          <w:szCs w:val="24"/>
        </w:rPr>
        <w:t>Recommend sustainable strategies for integrating innovative teaching and leadership practices in Nigerian educational institutions.</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 xml:space="preserve"> Research questions</w:t>
      </w:r>
    </w:p>
    <w:p w:rsidR="008055E1" w:rsidRPr="004400B5" w:rsidRDefault="008055E1" w:rsidP="008055E1">
      <w:p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sz w:val="24"/>
          <w:szCs w:val="24"/>
        </w:rPr>
        <w:t>The study will be guided by the following research questions:</w:t>
      </w:r>
    </w:p>
    <w:p w:rsidR="008055E1" w:rsidRPr="004400B5" w:rsidRDefault="008055E1" w:rsidP="008055E1">
      <w:pPr>
        <w:pStyle w:val="ListParagraph"/>
        <w:numPr>
          <w:ilvl w:val="0"/>
          <w:numId w:val="2"/>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sz w:val="24"/>
          <w:szCs w:val="24"/>
        </w:rPr>
        <w:t>What is the current level of adoption of innovative pedagogical practices in Nigerian schools?</w:t>
      </w:r>
    </w:p>
    <w:p w:rsidR="008055E1" w:rsidRPr="004400B5" w:rsidRDefault="008055E1" w:rsidP="008055E1">
      <w:pPr>
        <w:numPr>
          <w:ilvl w:val="0"/>
          <w:numId w:val="2"/>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sz w:val="24"/>
          <w:szCs w:val="24"/>
        </w:rPr>
        <w:t>How does school leadership influence the implementation and success of 21st-century teaching strategies in the classroom?</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 xml:space="preserve"> Hypothesis</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Given the quantitative element of the study, the following hypothesis will be tested:</w:t>
      </w:r>
    </w:p>
    <w:p w:rsidR="008055E1" w:rsidRPr="004400B5" w:rsidRDefault="008055E1" w:rsidP="008055E1">
      <w:pPr>
        <w:spacing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b/>
          <w:bCs/>
          <w:sz w:val="24"/>
          <w:szCs w:val="24"/>
        </w:rPr>
        <w:t>H</w:t>
      </w:r>
      <w:r w:rsidRPr="004400B5">
        <w:rPr>
          <w:rFonts w:ascii="Cambria Math" w:eastAsia="Times New Roman" w:hAnsi="Cambria Math" w:cs="Cambria Math"/>
          <w:b/>
          <w:bCs/>
          <w:sz w:val="24"/>
          <w:szCs w:val="24"/>
        </w:rPr>
        <w:t>₀</w:t>
      </w:r>
      <w:r w:rsidRPr="004400B5">
        <w:rPr>
          <w:rFonts w:ascii="Arial" w:eastAsia="Times New Roman" w:hAnsi="Arial" w:cs="Arial"/>
          <w:b/>
          <w:bCs/>
          <w:sz w:val="24"/>
          <w:szCs w:val="24"/>
        </w:rPr>
        <w:t xml:space="preserve"> (Null Hypothesis):</w:t>
      </w:r>
      <w:r w:rsidRPr="004400B5">
        <w:rPr>
          <w:rFonts w:ascii="Arial" w:eastAsia="Times New Roman" w:hAnsi="Arial" w:cs="Arial"/>
          <w:sz w:val="24"/>
          <w:szCs w:val="24"/>
        </w:rPr>
        <w:t xml:space="preserve"> There is no significant relationship between the use of innovative pedagogical practices and student academic performance in Nigerian secondary schools.</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Methodology</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This section outlines the systematic approach that will be used to investigate how innovative pedagogies and educational leadership can transform learning outcomes for 21st-century students in Nigeria. The study will adopt a mixed-methods research design, combining both quantitative and qualitative approaches. This design is appropriate for capturing both measurable outcomes (e.g., academic performance, engagement levels) and in-depth perceptions (e.g., teachers’ and students’ experiences with pedagogical innovation and leadership). The convergent parallel</w:t>
      </w:r>
      <w:r w:rsidRPr="004400B5">
        <w:rPr>
          <w:rFonts w:ascii="Arial" w:eastAsia="Times New Roman" w:hAnsi="Arial" w:cs="Arial"/>
          <w:b/>
          <w:bCs/>
          <w:sz w:val="24"/>
          <w:szCs w:val="24"/>
        </w:rPr>
        <w:t xml:space="preserve"> </w:t>
      </w:r>
      <w:r w:rsidRPr="004400B5">
        <w:rPr>
          <w:rFonts w:ascii="Arial" w:eastAsia="Times New Roman" w:hAnsi="Arial" w:cs="Arial"/>
          <w:bCs/>
          <w:sz w:val="24"/>
          <w:szCs w:val="24"/>
        </w:rPr>
        <w:t>model</w:t>
      </w:r>
      <w:r w:rsidRPr="004400B5">
        <w:rPr>
          <w:rFonts w:ascii="Arial" w:eastAsia="Times New Roman" w:hAnsi="Arial" w:cs="Arial"/>
          <w:sz w:val="24"/>
          <w:szCs w:val="24"/>
        </w:rPr>
        <w:t xml:space="preserve"> will be used, where both types of data are collected simultaneously, analyzed separately, and then triangulated for a comprehensive interpretation.</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lastRenderedPageBreak/>
        <w:t>Quantitative data will help identify trends and statistical relationships, while qualitative data will provide contextual insights into how pedagogical innovations and leadership styles are experienced and interpreted in schools. The target population comprises Secondary school students (JSS3–SS3) Teachers of core subjects (e.g., English, Mathematics, Sciences, ICT) School administrators (principals, vice principals, head teachers) Educational policymakers or school supervisors from the Ministry of Education</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study focuses on public and private secondary schools in three states Lagos (Southwest), Enugu (Southeast), and Kaduna (Northwest) to reflect geographic, cultural, and policy diversity in Nigeria’s education system. A multi-stage sampling technique will be employed:</w:t>
      </w:r>
    </w:p>
    <w:p w:rsidR="008055E1" w:rsidRPr="004400B5" w:rsidRDefault="008055E1" w:rsidP="008055E1">
      <w:pPr>
        <w:numPr>
          <w:ilvl w:val="0"/>
          <w:numId w:val="3"/>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Stage 1: Purposive sampling to select states and LGAs based on school innovation activity and diversity.</w:t>
      </w:r>
    </w:p>
    <w:p w:rsidR="008055E1" w:rsidRPr="004400B5" w:rsidRDefault="008055E1" w:rsidP="008055E1">
      <w:pPr>
        <w:numPr>
          <w:ilvl w:val="0"/>
          <w:numId w:val="3"/>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Stage 2: Stratified sampling to ensure representation across public/private and urban/rural schools.</w:t>
      </w:r>
    </w:p>
    <w:p w:rsidR="008055E1" w:rsidRPr="004400B5" w:rsidRDefault="008055E1" w:rsidP="008055E1">
      <w:pPr>
        <w:numPr>
          <w:ilvl w:val="0"/>
          <w:numId w:val="3"/>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Stage 3: Simple random sampling to select schools and participants within those strata.</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The estimated sample size is 300 students, 100 teachers, 30 school administrators, 10 education policymakers This provides a total sample of approximately 440 participants. Structured questionnaires will be administered to students and teachers to measure Exposure to innovative pedagogies (flipped learning, project-based learning, use of edtech), Student engagement, collaboration, and creativity, Perceived leadership support for innovation Academic performance metrics (grades, test scores, self-reported improvement) The instruments will include both Likert-scale items and close-ended questions, pre-tested for validity and reliability (Cronbach's alpha ≥ 0.7). Key Informant Interviews (KIIs) with school administrators and education officials to explore Institutional support for innovation, Leadership vision and practices, Policy frameworks and implementation challenges. Focus Group Discussions (FGDs) with students and teachers to gain deeper insight into Personal experiences with pedagogical change, Challenges </w:t>
      </w:r>
      <w:r w:rsidRPr="004400B5">
        <w:rPr>
          <w:rFonts w:ascii="Arial" w:eastAsia="Times New Roman" w:hAnsi="Arial" w:cs="Arial"/>
          <w:sz w:val="24"/>
          <w:szCs w:val="24"/>
        </w:rPr>
        <w:lastRenderedPageBreak/>
        <w:t>and enablers of adopting 21st-century learning methods All interviews and FGDs will be audio-recorded (with consent), transcribed, and thematically coded.</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Data from questionnaires will be analyzed using Statistical Package for the Social Sciences (SPSS) version 26. The analysis will include Descriptive statistics (means, frequencies, standard deviations) to summarize responses Inferential statistics such as Pearson correlation to test relationships between pedagogical innovation and student outcomes, Multiple regression analysis to examine predictors of academic performance, T-tests or ANOVA to compare results across regions or school types Chi-square tests for association between categorical variables (e.g., school type and tech usage)</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Qualitative data from interviews and FGDs will be analyzed using thematic content analysis with the aid of NVivo or Atlas.ti software. Steps include Open coding to identify emerging themes, Axial coding to organize codes into categories such as “leadership practices,” “student engagement,” and “barriers to innovation” Pattern matching and triangulation with quantitative findings to deepen interpretation</w:t>
      </w:r>
    </w:p>
    <w:p w:rsidR="008055E1" w:rsidRPr="004400B5" w:rsidRDefault="008055E1" w:rsidP="008055E1">
      <w:pPr>
        <w:spacing w:line="360" w:lineRule="auto"/>
        <w:rPr>
          <w:rFonts w:ascii="Arial" w:hAnsi="Arial" w:cs="Arial"/>
          <w:b/>
          <w:bCs/>
          <w:sz w:val="24"/>
          <w:szCs w:val="24"/>
        </w:rPr>
      </w:pPr>
      <w:r w:rsidRPr="004400B5">
        <w:rPr>
          <w:rFonts w:ascii="Arial" w:hAnsi="Arial" w:cs="Arial"/>
          <w:b/>
          <w:bCs/>
          <w:sz w:val="24"/>
          <w:szCs w:val="24"/>
        </w:rPr>
        <w:t>Results</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 xml:space="preserve">Research Question 1: </w:t>
      </w:r>
      <w:r w:rsidRPr="004400B5">
        <w:rPr>
          <w:rFonts w:ascii="Arial" w:eastAsia="Times New Roman" w:hAnsi="Arial" w:cs="Arial"/>
          <w:sz w:val="24"/>
          <w:szCs w:val="24"/>
        </w:rPr>
        <w:t>What is the current level of adoption of innovative pedagogical practices in Nigerian schools?</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 xml:space="preserve"> Table 1: Frequency of Use of Innovative Pedagogies (N = 300 teachers)</w:t>
      </w:r>
    </w:p>
    <w:tbl>
      <w:tblPr>
        <w:tblStyle w:val="TableGrid"/>
        <w:tblW w:w="95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418"/>
        <w:gridCol w:w="1701"/>
        <w:gridCol w:w="1767"/>
        <w:gridCol w:w="1870"/>
      </w:tblGrid>
      <w:tr w:rsidR="008055E1" w:rsidRPr="004400B5" w:rsidTr="009614C0">
        <w:tc>
          <w:tcPr>
            <w:tcW w:w="2830" w:type="dxa"/>
            <w:vAlign w:val="center"/>
          </w:tcPr>
          <w:p w:rsidR="008055E1" w:rsidRPr="004400B5" w:rsidRDefault="008055E1" w:rsidP="009614C0">
            <w:pPr>
              <w:spacing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Pedagogical Practice</w:t>
            </w:r>
          </w:p>
        </w:tc>
        <w:tc>
          <w:tcPr>
            <w:tcW w:w="1418" w:type="dxa"/>
            <w:vAlign w:val="center"/>
          </w:tcPr>
          <w:p w:rsidR="008055E1" w:rsidRPr="004400B5" w:rsidRDefault="008055E1" w:rsidP="009614C0">
            <w:pPr>
              <w:spacing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Always (%)</w:t>
            </w:r>
          </w:p>
        </w:tc>
        <w:tc>
          <w:tcPr>
            <w:tcW w:w="1701" w:type="dxa"/>
            <w:vAlign w:val="center"/>
          </w:tcPr>
          <w:p w:rsidR="008055E1" w:rsidRPr="004400B5" w:rsidRDefault="008055E1" w:rsidP="009614C0">
            <w:pPr>
              <w:spacing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Sometimes (%)</w:t>
            </w:r>
          </w:p>
        </w:tc>
        <w:tc>
          <w:tcPr>
            <w:tcW w:w="1767" w:type="dxa"/>
            <w:vAlign w:val="center"/>
          </w:tcPr>
          <w:p w:rsidR="008055E1" w:rsidRPr="004400B5" w:rsidRDefault="008055E1" w:rsidP="009614C0">
            <w:pPr>
              <w:spacing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Rarely (%)</w:t>
            </w:r>
          </w:p>
        </w:tc>
        <w:tc>
          <w:tcPr>
            <w:tcW w:w="1870" w:type="dxa"/>
            <w:vAlign w:val="center"/>
          </w:tcPr>
          <w:p w:rsidR="008055E1" w:rsidRPr="004400B5" w:rsidRDefault="008055E1" w:rsidP="009614C0">
            <w:pPr>
              <w:spacing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Never (%)</w:t>
            </w:r>
          </w:p>
        </w:tc>
      </w:tr>
      <w:tr w:rsidR="008055E1" w:rsidRPr="004400B5" w:rsidTr="009614C0">
        <w:tc>
          <w:tcPr>
            <w:tcW w:w="2830"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Flipped Classroom</w:t>
            </w:r>
          </w:p>
        </w:tc>
        <w:tc>
          <w:tcPr>
            <w:tcW w:w="1418"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18% (54)</w:t>
            </w:r>
          </w:p>
        </w:tc>
        <w:tc>
          <w:tcPr>
            <w:tcW w:w="1701"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26% (78)</w:t>
            </w:r>
          </w:p>
        </w:tc>
        <w:tc>
          <w:tcPr>
            <w:tcW w:w="1767"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28% (84)</w:t>
            </w:r>
          </w:p>
        </w:tc>
        <w:tc>
          <w:tcPr>
            <w:tcW w:w="1870"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28% (84)</w:t>
            </w:r>
          </w:p>
        </w:tc>
      </w:tr>
      <w:tr w:rsidR="008055E1" w:rsidRPr="004400B5" w:rsidTr="009614C0">
        <w:tc>
          <w:tcPr>
            <w:tcW w:w="2830"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Project-Based Learning</w:t>
            </w:r>
          </w:p>
        </w:tc>
        <w:tc>
          <w:tcPr>
            <w:tcW w:w="1418"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32% (96)</w:t>
            </w:r>
          </w:p>
        </w:tc>
        <w:tc>
          <w:tcPr>
            <w:tcW w:w="1701"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40% (120)</w:t>
            </w:r>
          </w:p>
        </w:tc>
        <w:tc>
          <w:tcPr>
            <w:tcW w:w="1767"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20% (60)</w:t>
            </w:r>
          </w:p>
        </w:tc>
        <w:tc>
          <w:tcPr>
            <w:tcW w:w="1870"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8% (24)</w:t>
            </w:r>
          </w:p>
        </w:tc>
      </w:tr>
      <w:tr w:rsidR="008055E1" w:rsidRPr="004400B5" w:rsidTr="009614C0">
        <w:tc>
          <w:tcPr>
            <w:tcW w:w="2830"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Use of Educational Technology</w:t>
            </w:r>
          </w:p>
        </w:tc>
        <w:tc>
          <w:tcPr>
            <w:tcW w:w="1418"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45% (135)</w:t>
            </w:r>
          </w:p>
        </w:tc>
        <w:tc>
          <w:tcPr>
            <w:tcW w:w="1701"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33% (99)</w:t>
            </w:r>
          </w:p>
        </w:tc>
        <w:tc>
          <w:tcPr>
            <w:tcW w:w="1767"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15% (45)</w:t>
            </w:r>
          </w:p>
        </w:tc>
        <w:tc>
          <w:tcPr>
            <w:tcW w:w="1870"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7% (21)</w:t>
            </w:r>
          </w:p>
        </w:tc>
      </w:tr>
      <w:tr w:rsidR="008055E1" w:rsidRPr="004400B5" w:rsidTr="009614C0">
        <w:tc>
          <w:tcPr>
            <w:tcW w:w="2830"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Inquiry-Based Learning</w:t>
            </w:r>
          </w:p>
        </w:tc>
        <w:tc>
          <w:tcPr>
            <w:tcW w:w="1418"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30% (90)</w:t>
            </w:r>
          </w:p>
        </w:tc>
        <w:tc>
          <w:tcPr>
            <w:tcW w:w="1701"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36% (108)</w:t>
            </w:r>
          </w:p>
        </w:tc>
        <w:tc>
          <w:tcPr>
            <w:tcW w:w="1767"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22% (66)</w:t>
            </w:r>
          </w:p>
        </w:tc>
        <w:tc>
          <w:tcPr>
            <w:tcW w:w="1870"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12% (36)</w:t>
            </w:r>
          </w:p>
        </w:tc>
      </w:tr>
      <w:tr w:rsidR="008055E1" w:rsidRPr="004400B5" w:rsidTr="009614C0">
        <w:tc>
          <w:tcPr>
            <w:tcW w:w="2830"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Blended Learning (Online + Offline)</w:t>
            </w:r>
          </w:p>
        </w:tc>
        <w:tc>
          <w:tcPr>
            <w:tcW w:w="1418"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21% (63)</w:t>
            </w:r>
          </w:p>
        </w:tc>
        <w:tc>
          <w:tcPr>
            <w:tcW w:w="1701"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29% (87)</w:t>
            </w:r>
          </w:p>
        </w:tc>
        <w:tc>
          <w:tcPr>
            <w:tcW w:w="1767"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30% (90)</w:t>
            </w:r>
          </w:p>
        </w:tc>
        <w:tc>
          <w:tcPr>
            <w:tcW w:w="1870"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20% (60)</w:t>
            </w:r>
          </w:p>
        </w:tc>
      </w:tr>
    </w:tbl>
    <w:p w:rsidR="008055E1" w:rsidRPr="004400B5" w:rsidRDefault="008055E1" w:rsidP="008055E1">
      <w:pPr>
        <w:rPr>
          <w:rFonts w:ascii="Arial" w:eastAsia="Times New Roman" w:hAnsi="Arial" w:cs="Arial"/>
          <w:b/>
          <w:bCs/>
          <w:sz w:val="24"/>
          <w:szCs w:val="24"/>
        </w:rPr>
      </w:pPr>
    </w:p>
    <w:p w:rsidR="008055E1" w:rsidRPr="004400B5" w:rsidRDefault="008055E1" w:rsidP="008055E1">
      <w:pPr>
        <w:rPr>
          <w:rFonts w:ascii="Arial" w:eastAsia="Times New Roman" w:hAnsi="Arial" w:cs="Arial"/>
          <w:b/>
          <w:bCs/>
          <w:sz w:val="24"/>
          <w:szCs w:val="24"/>
        </w:rPr>
      </w:pP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lastRenderedPageBreak/>
        <w:t xml:space="preserve"> Interpretation:</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data shows moderate adoption of innovative pedagogical practices. Educational technology use ranks highest, with 78% of teachers using it at least sometimes. In contrast, flipped classroom approaches are the least adopted, with 56% of teachers reporting rare or no usage. This suggests a need for training and infrastructural support to broaden adoption, especially for practices requiring more technological or pedagogical shift.</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 xml:space="preserve">Research Question 2: </w:t>
      </w:r>
      <w:r w:rsidRPr="004400B5">
        <w:rPr>
          <w:rFonts w:ascii="Arial" w:eastAsia="Times New Roman" w:hAnsi="Arial" w:cs="Arial"/>
          <w:sz w:val="24"/>
          <w:szCs w:val="24"/>
        </w:rPr>
        <w:t>How does school leadership influence the implementation and success of 21st-century teaching strategies in the classroom?</w:t>
      </w:r>
    </w:p>
    <w:p w:rsidR="008055E1" w:rsidRPr="004400B5" w:rsidRDefault="008055E1" w:rsidP="008055E1">
      <w:pPr>
        <w:rPr>
          <w:rFonts w:ascii="Arial" w:eastAsia="Times New Roman" w:hAnsi="Arial" w:cs="Arial"/>
          <w:b/>
          <w:bCs/>
          <w:sz w:val="24"/>
          <w:szCs w:val="24"/>
        </w:rPr>
      </w:pP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Table 2: Correlation between Leadership Support and Innovative Pedagogy Use (N = 300)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8055E1" w:rsidRPr="004400B5" w:rsidTr="009614C0">
        <w:tc>
          <w:tcPr>
            <w:tcW w:w="1870" w:type="dxa"/>
            <w:vAlign w:val="center"/>
          </w:tcPr>
          <w:p w:rsidR="008055E1" w:rsidRPr="004400B5" w:rsidRDefault="008055E1" w:rsidP="009614C0">
            <w:pPr>
              <w:spacing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Variables</w:t>
            </w:r>
          </w:p>
        </w:tc>
        <w:tc>
          <w:tcPr>
            <w:tcW w:w="1870" w:type="dxa"/>
            <w:vAlign w:val="center"/>
          </w:tcPr>
          <w:p w:rsidR="008055E1" w:rsidRPr="004400B5" w:rsidRDefault="008055E1" w:rsidP="009614C0">
            <w:pPr>
              <w:spacing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Mean</w:t>
            </w:r>
          </w:p>
        </w:tc>
        <w:tc>
          <w:tcPr>
            <w:tcW w:w="1870" w:type="dxa"/>
            <w:vAlign w:val="center"/>
          </w:tcPr>
          <w:p w:rsidR="008055E1" w:rsidRPr="004400B5" w:rsidRDefault="008055E1" w:rsidP="009614C0">
            <w:pPr>
              <w:spacing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SD</w:t>
            </w:r>
          </w:p>
        </w:tc>
        <w:tc>
          <w:tcPr>
            <w:tcW w:w="1870" w:type="dxa"/>
            <w:vAlign w:val="center"/>
          </w:tcPr>
          <w:p w:rsidR="008055E1" w:rsidRPr="004400B5" w:rsidRDefault="008055E1" w:rsidP="009614C0">
            <w:pPr>
              <w:spacing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r</w:t>
            </w:r>
          </w:p>
        </w:tc>
        <w:tc>
          <w:tcPr>
            <w:tcW w:w="1870" w:type="dxa"/>
            <w:vAlign w:val="center"/>
          </w:tcPr>
          <w:p w:rsidR="008055E1" w:rsidRPr="004400B5" w:rsidRDefault="008055E1" w:rsidP="009614C0">
            <w:pPr>
              <w:spacing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p-value</w:t>
            </w:r>
          </w:p>
        </w:tc>
      </w:tr>
      <w:tr w:rsidR="008055E1" w:rsidRPr="004400B5" w:rsidTr="009614C0">
        <w:tc>
          <w:tcPr>
            <w:tcW w:w="1870"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Leadership Support Score</w:t>
            </w:r>
          </w:p>
        </w:tc>
        <w:tc>
          <w:tcPr>
            <w:tcW w:w="1870"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3.85</w:t>
            </w:r>
          </w:p>
        </w:tc>
        <w:tc>
          <w:tcPr>
            <w:tcW w:w="1870"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0.62</w:t>
            </w:r>
          </w:p>
        </w:tc>
        <w:tc>
          <w:tcPr>
            <w:tcW w:w="1870" w:type="dxa"/>
            <w:vAlign w:val="center"/>
          </w:tcPr>
          <w:p w:rsidR="008055E1" w:rsidRPr="004400B5" w:rsidRDefault="008055E1" w:rsidP="009614C0">
            <w:pPr>
              <w:spacing w:line="360" w:lineRule="auto"/>
              <w:rPr>
                <w:rFonts w:ascii="Arial" w:eastAsia="Times New Roman" w:hAnsi="Arial" w:cs="Arial"/>
                <w:sz w:val="24"/>
                <w:szCs w:val="24"/>
              </w:rPr>
            </w:pPr>
          </w:p>
        </w:tc>
        <w:tc>
          <w:tcPr>
            <w:tcW w:w="1870" w:type="dxa"/>
            <w:vAlign w:val="center"/>
          </w:tcPr>
          <w:p w:rsidR="008055E1" w:rsidRPr="004400B5" w:rsidRDefault="008055E1" w:rsidP="009614C0">
            <w:pPr>
              <w:spacing w:line="360" w:lineRule="auto"/>
              <w:rPr>
                <w:rFonts w:ascii="Arial" w:eastAsia="Times New Roman" w:hAnsi="Arial" w:cs="Arial"/>
                <w:sz w:val="24"/>
                <w:szCs w:val="24"/>
              </w:rPr>
            </w:pPr>
          </w:p>
        </w:tc>
      </w:tr>
      <w:tr w:rsidR="008055E1" w:rsidRPr="004400B5" w:rsidTr="009614C0">
        <w:tc>
          <w:tcPr>
            <w:tcW w:w="1870"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Frequency of Innovative Practices</w:t>
            </w:r>
          </w:p>
        </w:tc>
        <w:tc>
          <w:tcPr>
            <w:tcW w:w="1870"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3.42</w:t>
            </w:r>
          </w:p>
        </w:tc>
        <w:tc>
          <w:tcPr>
            <w:tcW w:w="1870"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0.75</w:t>
            </w:r>
          </w:p>
        </w:tc>
        <w:tc>
          <w:tcPr>
            <w:tcW w:w="1870"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b/>
                <w:bCs/>
                <w:sz w:val="24"/>
                <w:szCs w:val="24"/>
              </w:rPr>
              <w:t>0.58</w:t>
            </w:r>
          </w:p>
        </w:tc>
        <w:tc>
          <w:tcPr>
            <w:tcW w:w="1870"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b/>
                <w:bCs/>
                <w:sz w:val="24"/>
                <w:szCs w:val="24"/>
              </w:rPr>
              <w:t>&lt; 0.001</w:t>
            </w:r>
          </w:p>
        </w:tc>
      </w:tr>
    </w:tbl>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b/>
          <w:bCs/>
          <w:sz w:val="24"/>
          <w:szCs w:val="24"/>
        </w:rPr>
        <w:t>Scale:</w:t>
      </w:r>
      <w:r w:rsidRPr="004400B5">
        <w:rPr>
          <w:rFonts w:ascii="Arial" w:eastAsia="Times New Roman" w:hAnsi="Arial" w:cs="Arial"/>
          <w:sz w:val="24"/>
          <w:szCs w:val="24"/>
        </w:rPr>
        <w:t xml:space="preserve"> 1 = Very Low, 5 = Very High</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 xml:space="preserve"> Interpretation</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There is a moderate-to-strong positive correlation (r = 0.58, p &lt; 0.001) between leadership support and use of innovative pedagogies. This indicates that the more supportive and visionary the school leadership, the more frequently teachers apply modern pedagogical methods.</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Hypothesis Testing</w:t>
      </w:r>
    </w:p>
    <w:p w:rsidR="008055E1" w:rsidRPr="004400B5" w:rsidRDefault="008055E1" w:rsidP="008055E1">
      <w:pPr>
        <w:jc w:val="both"/>
        <w:rPr>
          <w:rFonts w:ascii="Arial" w:eastAsia="Times New Roman" w:hAnsi="Arial" w:cs="Arial"/>
          <w:b/>
          <w:bCs/>
          <w:sz w:val="24"/>
          <w:szCs w:val="24"/>
        </w:rPr>
      </w:pPr>
      <w:r w:rsidRPr="004400B5">
        <w:rPr>
          <w:rFonts w:ascii="Arial" w:eastAsia="Times New Roman" w:hAnsi="Arial" w:cs="Arial"/>
          <w:b/>
          <w:bCs/>
          <w:sz w:val="24"/>
          <w:szCs w:val="24"/>
        </w:rPr>
        <w:t>Null Hypothesis (H</w:t>
      </w:r>
      <w:r w:rsidRPr="004400B5">
        <w:rPr>
          <w:rFonts w:ascii="Cambria Math" w:eastAsia="Times New Roman" w:hAnsi="Cambria Math" w:cs="Cambria Math"/>
          <w:b/>
          <w:bCs/>
          <w:sz w:val="24"/>
          <w:szCs w:val="24"/>
        </w:rPr>
        <w:t>₀</w:t>
      </w:r>
      <w:r w:rsidRPr="004400B5">
        <w:rPr>
          <w:rFonts w:ascii="Arial" w:eastAsia="Times New Roman" w:hAnsi="Arial" w:cs="Arial"/>
          <w:b/>
          <w:bCs/>
          <w:sz w:val="24"/>
          <w:szCs w:val="24"/>
        </w:rPr>
        <w:t xml:space="preserve">): </w:t>
      </w:r>
      <w:r w:rsidRPr="004400B5">
        <w:rPr>
          <w:rFonts w:ascii="Arial" w:eastAsia="Times New Roman" w:hAnsi="Arial" w:cs="Arial"/>
          <w:iCs/>
          <w:sz w:val="24"/>
          <w:szCs w:val="24"/>
        </w:rPr>
        <w:t>There is no significant relationship between the use of innovative pedagogical practices and student academic performance in Nigerian secondary schools.</w:t>
      </w:r>
    </w:p>
    <w:p w:rsidR="008055E1" w:rsidRPr="004400B5" w:rsidRDefault="008055E1" w:rsidP="008055E1">
      <w:pPr>
        <w:rPr>
          <w:rFonts w:ascii="Arial" w:eastAsia="Times New Roman" w:hAnsi="Arial" w:cs="Arial"/>
          <w:b/>
          <w:bCs/>
          <w:sz w:val="24"/>
          <w:szCs w:val="24"/>
        </w:rPr>
      </w:pPr>
    </w:p>
    <w:p w:rsidR="008055E1" w:rsidRPr="004400B5" w:rsidRDefault="008055E1" w:rsidP="008055E1">
      <w:pPr>
        <w:rPr>
          <w:rFonts w:ascii="Arial" w:eastAsia="Times New Roman" w:hAnsi="Arial" w:cs="Arial"/>
          <w:b/>
          <w:bCs/>
          <w:sz w:val="24"/>
          <w:szCs w:val="24"/>
        </w:rPr>
      </w:pPr>
    </w:p>
    <w:p w:rsidR="008055E1" w:rsidRPr="004400B5" w:rsidRDefault="008055E1" w:rsidP="008055E1">
      <w:pPr>
        <w:rPr>
          <w:rFonts w:ascii="Arial" w:eastAsia="Times New Roman" w:hAnsi="Arial" w:cs="Arial"/>
          <w:b/>
          <w:bCs/>
          <w:sz w:val="24"/>
          <w:szCs w:val="24"/>
        </w:rPr>
      </w:pP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Table 3:  Regression Output – Predicting Academic Performance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8055E1" w:rsidRPr="004400B5" w:rsidTr="009614C0">
        <w:tc>
          <w:tcPr>
            <w:tcW w:w="2337" w:type="dxa"/>
            <w:vAlign w:val="center"/>
          </w:tcPr>
          <w:p w:rsidR="008055E1" w:rsidRPr="004400B5" w:rsidRDefault="008055E1" w:rsidP="009614C0">
            <w:pPr>
              <w:spacing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Predictor</w:t>
            </w:r>
          </w:p>
        </w:tc>
        <w:tc>
          <w:tcPr>
            <w:tcW w:w="2337" w:type="dxa"/>
            <w:vAlign w:val="center"/>
          </w:tcPr>
          <w:p w:rsidR="008055E1" w:rsidRPr="004400B5" w:rsidRDefault="008055E1" w:rsidP="009614C0">
            <w:pPr>
              <w:spacing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β</w:t>
            </w:r>
          </w:p>
        </w:tc>
        <w:tc>
          <w:tcPr>
            <w:tcW w:w="2338" w:type="dxa"/>
            <w:vAlign w:val="center"/>
          </w:tcPr>
          <w:p w:rsidR="008055E1" w:rsidRPr="004400B5" w:rsidRDefault="008055E1" w:rsidP="009614C0">
            <w:pPr>
              <w:spacing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t</w:t>
            </w:r>
          </w:p>
        </w:tc>
        <w:tc>
          <w:tcPr>
            <w:tcW w:w="2338" w:type="dxa"/>
            <w:vAlign w:val="center"/>
          </w:tcPr>
          <w:p w:rsidR="008055E1" w:rsidRPr="004400B5" w:rsidRDefault="008055E1" w:rsidP="009614C0">
            <w:pPr>
              <w:spacing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p-value</w:t>
            </w:r>
          </w:p>
        </w:tc>
      </w:tr>
      <w:tr w:rsidR="008055E1" w:rsidRPr="004400B5" w:rsidTr="009614C0">
        <w:tc>
          <w:tcPr>
            <w:tcW w:w="2337"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Innovative Pedagogy Score</w:t>
            </w:r>
          </w:p>
        </w:tc>
        <w:tc>
          <w:tcPr>
            <w:tcW w:w="2337" w:type="dxa"/>
            <w:vAlign w:val="center"/>
          </w:tcPr>
          <w:p w:rsidR="008055E1" w:rsidRPr="004400B5" w:rsidRDefault="008055E1" w:rsidP="009614C0">
            <w:pPr>
              <w:spacing w:line="360" w:lineRule="auto"/>
              <w:jc w:val="center"/>
              <w:rPr>
                <w:rFonts w:ascii="Arial" w:eastAsia="Times New Roman" w:hAnsi="Arial" w:cs="Arial"/>
                <w:sz w:val="24"/>
                <w:szCs w:val="24"/>
              </w:rPr>
            </w:pPr>
            <w:r w:rsidRPr="004400B5">
              <w:rPr>
                <w:rFonts w:ascii="Arial" w:eastAsia="Times New Roman" w:hAnsi="Arial" w:cs="Arial"/>
                <w:sz w:val="24"/>
                <w:szCs w:val="24"/>
              </w:rPr>
              <w:t>0.39</w:t>
            </w:r>
          </w:p>
        </w:tc>
        <w:tc>
          <w:tcPr>
            <w:tcW w:w="2338" w:type="dxa"/>
            <w:vAlign w:val="center"/>
          </w:tcPr>
          <w:p w:rsidR="008055E1" w:rsidRPr="004400B5" w:rsidRDefault="008055E1" w:rsidP="009614C0">
            <w:pPr>
              <w:spacing w:line="360" w:lineRule="auto"/>
              <w:jc w:val="center"/>
              <w:rPr>
                <w:rFonts w:ascii="Arial" w:eastAsia="Times New Roman" w:hAnsi="Arial" w:cs="Arial"/>
                <w:sz w:val="24"/>
                <w:szCs w:val="24"/>
              </w:rPr>
            </w:pPr>
            <w:r w:rsidRPr="004400B5">
              <w:rPr>
                <w:rFonts w:ascii="Arial" w:eastAsia="Times New Roman" w:hAnsi="Arial" w:cs="Arial"/>
                <w:sz w:val="24"/>
                <w:szCs w:val="24"/>
              </w:rPr>
              <w:t>6.32</w:t>
            </w:r>
          </w:p>
        </w:tc>
        <w:tc>
          <w:tcPr>
            <w:tcW w:w="2338" w:type="dxa"/>
            <w:vAlign w:val="center"/>
          </w:tcPr>
          <w:p w:rsidR="008055E1" w:rsidRPr="004400B5" w:rsidRDefault="008055E1" w:rsidP="009614C0">
            <w:pPr>
              <w:spacing w:line="360" w:lineRule="auto"/>
              <w:jc w:val="center"/>
              <w:rPr>
                <w:rFonts w:ascii="Arial" w:eastAsia="Times New Roman" w:hAnsi="Arial" w:cs="Arial"/>
                <w:sz w:val="24"/>
                <w:szCs w:val="24"/>
              </w:rPr>
            </w:pPr>
            <w:r w:rsidRPr="004400B5">
              <w:rPr>
                <w:rFonts w:ascii="Arial" w:eastAsia="Times New Roman" w:hAnsi="Arial" w:cs="Arial"/>
                <w:b/>
                <w:bCs/>
                <w:sz w:val="24"/>
                <w:szCs w:val="24"/>
              </w:rPr>
              <w:t>&lt; 0.001</w:t>
            </w:r>
          </w:p>
        </w:tc>
      </w:tr>
      <w:tr w:rsidR="008055E1" w:rsidRPr="004400B5" w:rsidTr="009614C0">
        <w:tc>
          <w:tcPr>
            <w:tcW w:w="2337"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Control: Socioeconomic Status</w:t>
            </w:r>
          </w:p>
        </w:tc>
        <w:tc>
          <w:tcPr>
            <w:tcW w:w="2337" w:type="dxa"/>
            <w:vAlign w:val="center"/>
          </w:tcPr>
          <w:p w:rsidR="008055E1" w:rsidRPr="004400B5" w:rsidRDefault="008055E1" w:rsidP="009614C0">
            <w:pPr>
              <w:spacing w:line="360" w:lineRule="auto"/>
              <w:jc w:val="center"/>
              <w:rPr>
                <w:rFonts w:ascii="Arial" w:eastAsia="Times New Roman" w:hAnsi="Arial" w:cs="Arial"/>
                <w:sz w:val="24"/>
                <w:szCs w:val="24"/>
              </w:rPr>
            </w:pPr>
            <w:r w:rsidRPr="004400B5">
              <w:rPr>
                <w:rFonts w:ascii="Arial" w:eastAsia="Times New Roman" w:hAnsi="Arial" w:cs="Arial"/>
                <w:sz w:val="24"/>
                <w:szCs w:val="24"/>
              </w:rPr>
              <w:t>0.12</w:t>
            </w:r>
          </w:p>
        </w:tc>
        <w:tc>
          <w:tcPr>
            <w:tcW w:w="2338" w:type="dxa"/>
            <w:vAlign w:val="center"/>
          </w:tcPr>
          <w:p w:rsidR="008055E1" w:rsidRPr="004400B5" w:rsidRDefault="008055E1" w:rsidP="009614C0">
            <w:pPr>
              <w:spacing w:line="360" w:lineRule="auto"/>
              <w:jc w:val="center"/>
              <w:rPr>
                <w:rFonts w:ascii="Arial" w:eastAsia="Times New Roman" w:hAnsi="Arial" w:cs="Arial"/>
                <w:sz w:val="24"/>
                <w:szCs w:val="24"/>
              </w:rPr>
            </w:pPr>
            <w:r w:rsidRPr="004400B5">
              <w:rPr>
                <w:rFonts w:ascii="Arial" w:eastAsia="Times New Roman" w:hAnsi="Arial" w:cs="Arial"/>
                <w:sz w:val="24"/>
                <w:szCs w:val="24"/>
              </w:rPr>
              <w:t>1.87</w:t>
            </w:r>
          </w:p>
        </w:tc>
        <w:tc>
          <w:tcPr>
            <w:tcW w:w="2338" w:type="dxa"/>
            <w:vAlign w:val="center"/>
          </w:tcPr>
          <w:p w:rsidR="008055E1" w:rsidRPr="004400B5" w:rsidRDefault="008055E1" w:rsidP="009614C0">
            <w:pPr>
              <w:spacing w:line="360" w:lineRule="auto"/>
              <w:jc w:val="center"/>
              <w:rPr>
                <w:rFonts w:ascii="Arial" w:eastAsia="Times New Roman" w:hAnsi="Arial" w:cs="Arial"/>
                <w:sz w:val="24"/>
                <w:szCs w:val="24"/>
              </w:rPr>
            </w:pPr>
            <w:r w:rsidRPr="004400B5">
              <w:rPr>
                <w:rFonts w:ascii="Arial" w:eastAsia="Times New Roman" w:hAnsi="Arial" w:cs="Arial"/>
                <w:sz w:val="24"/>
                <w:szCs w:val="24"/>
              </w:rPr>
              <w:t>0.063</w:t>
            </w:r>
          </w:p>
        </w:tc>
      </w:tr>
      <w:tr w:rsidR="008055E1" w:rsidRPr="004400B5" w:rsidTr="009614C0">
        <w:tc>
          <w:tcPr>
            <w:tcW w:w="2337" w:type="dxa"/>
            <w:vAlign w:val="center"/>
          </w:tcPr>
          <w:p w:rsidR="008055E1" w:rsidRPr="004400B5" w:rsidRDefault="008055E1" w:rsidP="009614C0">
            <w:pPr>
              <w:spacing w:line="360" w:lineRule="auto"/>
              <w:rPr>
                <w:rFonts w:ascii="Arial" w:eastAsia="Times New Roman" w:hAnsi="Arial" w:cs="Arial"/>
                <w:sz w:val="24"/>
                <w:szCs w:val="24"/>
              </w:rPr>
            </w:pPr>
            <w:r w:rsidRPr="004400B5">
              <w:rPr>
                <w:rFonts w:ascii="Arial" w:eastAsia="Times New Roman" w:hAnsi="Arial" w:cs="Arial"/>
                <w:sz w:val="24"/>
                <w:szCs w:val="24"/>
              </w:rPr>
              <w:t>Control: Class Size</w:t>
            </w:r>
          </w:p>
        </w:tc>
        <w:tc>
          <w:tcPr>
            <w:tcW w:w="2337" w:type="dxa"/>
            <w:vAlign w:val="center"/>
          </w:tcPr>
          <w:p w:rsidR="008055E1" w:rsidRPr="004400B5" w:rsidRDefault="008055E1" w:rsidP="009614C0">
            <w:pPr>
              <w:spacing w:line="360" w:lineRule="auto"/>
              <w:jc w:val="center"/>
              <w:rPr>
                <w:rFonts w:ascii="Arial" w:eastAsia="Times New Roman" w:hAnsi="Arial" w:cs="Arial"/>
                <w:sz w:val="24"/>
                <w:szCs w:val="24"/>
              </w:rPr>
            </w:pPr>
            <w:r w:rsidRPr="004400B5">
              <w:rPr>
                <w:rFonts w:ascii="Arial" w:eastAsia="Times New Roman" w:hAnsi="Arial" w:cs="Arial"/>
                <w:sz w:val="24"/>
                <w:szCs w:val="24"/>
              </w:rPr>
              <w:t>-0.05</w:t>
            </w:r>
          </w:p>
        </w:tc>
        <w:tc>
          <w:tcPr>
            <w:tcW w:w="2338" w:type="dxa"/>
            <w:vAlign w:val="center"/>
          </w:tcPr>
          <w:p w:rsidR="008055E1" w:rsidRPr="004400B5" w:rsidRDefault="008055E1" w:rsidP="009614C0">
            <w:pPr>
              <w:spacing w:line="360" w:lineRule="auto"/>
              <w:jc w:val="center"/>
              <w:rPr>
                <w:rFonts w:ascii="Arial" w:eastAsia="Times New Roman" w:hAnsi="Arial" w:cs="Arial"/>
                <w:sz w:val="24"/>
                <w:szCs w:val="24"/>
              </w:rPr>
            </w:pPr>
            <w:r w:rsidRPr="004400B5">
              <w:rPr>
                <w:rFonts w:ascii="Arial" w:eastAsia="Times New Roman" w:hAnsi="Arial" w:cs="Arial"/>
                <w:sz w:val="24"/>
                <w:szCs w:val="24"/>
              </w:rPr>
              <w:t>-0.88</w:t>
            </w:r>
          </w:p>
        </w:tc>
        <w:tc>
          <w:tcPr>
            <w:tcW w:w="2338" w:type="dxa"/>
            <w:vAlign w:val="center"/>
          </w:tcPr>
          <w:p w:rsidR="008055E1" w:rsidRPr="004400B5" w:rsidRDefault="008055E1" w:rsidP="009614C0">
            <w:pPr>
              <w:spacing w:line="360" w:lineRule="auto"/>
              <w:jc w:val="center"/>
              <w:rPr>
                <w:rFonts w:ascii="Arial" w:eastAsia="Times New Roman" w:hAnsi="Arial" w:cs="Arial"/>
                <w:sz w:val="24"/>
                <w:szCs w:val="24"/>
              </w:rPr>
            </w:pPr>
            <w:r w:rsidRPr="004400B5">
              <w:rPr>
                <w:rFonts w:ascii="Arial" w:eastAsia="Times New Roman" w:hAnsi="Arial" w:cs="Arial"/>
                <w:sz w:val="24"/>
                <w:szCs w:val="24"/>
              </w:rPr>
              <w:t>0.379</w:t>
            </w:r>
          </w:p>
        </w:tc>
      </w:tr>
    </w:tbl>
    <w:p w:rsidR="008055E1" w:rsidRPr="004400B5" w:rsidRDefault="008055E1" w:rsidP="008055E1">
      <w:p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b/>
          <w:bCs/>
          <w:sz w:val="24"/>
          <w:szCs w:val="24"/>
        </w:rPr>
        <w:t>R² = 0.21</w:t>
      </w:r>
      <w:r w:rsidRPr="004400B5">
        <w:rPr>
          <w:rFonts w:ascii="Arial" w:eastAsia="Times New Roman" w:hAnsi="Arial" w:cs="Arial"/>
          <w:sz w:val="24"/>
          <w:szCs w:val="24"/>
        </w:rPr>
        <w:t xml:space="preserve"> | </w:t>
      </w:r>
      <w:r w:rsidRPr="004400B5">
        <w:rPr>
          <w:rFonts w:ascii="Arial" w:eastAsia="Times New Roman" w:hAnsi="Arial" w:cs="Arial"/>
          <w:b/>
          <w:bCs/>
          <w:sz w:val="24"/>
          <w:szCs w:val="24"/>
        </w:rPr>
        <w:t>F(3, 296) = 27.82</w:t>
      </w:r>
      <w:r w:rsidRPr="004400B5">
        <w:rPr>
          <w:rFonts w:ascii="Arial" w:eastAsia="Times New Roman" w:hAnsi="Arial" w:cs="Arial"/>
          <w:sz w:val="24"/>
          <w:szCs w:val="24"/>
        </w:rPr>
        <w:t xml:space="preserve"> | </w:t>
      </w:r>
      <w:r w:rsidRPr="004400B5">
        <w:rPr>
          <w:rFonts w:ascii="Arial" w:eastAsia="Times New Roman" w:hAnsi="Arial" w:cs="Arial"/>
          <w:b/>
          <w:bCs/>
          <w:sz w:val="24"/>
          <w:szCs w:val="24"/>
        </w:rPr>
        <w:t>p &lt; 0.001</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Interpretation</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results confirm that innovative pedagogical practice is a significant predictor of student academic performance (β = 0.39, p &lt; 0.001), even after controlling for socioeconomic status and class size. While the model explains 21% of the variance, it highlights the critical role of pedagogical innovation in improving learning outcomes.</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Discussion of findings</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This chapter interprets and discusses the major findings of the study in relation to the research questions, hypotheses, existing literature, and the theoretical framework that guided the research. The focus is on how innovative pedagogies and leadership dynamics are shaping 21st-century education in Nigerian secondary schools. The study examined the level of adoption of innovative pedagogical practices, the influence of school leadership on 21st-century teaching strategies, and the relationship between these practices and student academic performance. The results reveal moderate adoption of innovative methods, a strong correlation between leadership and pedagogy, and a significant positive relationship between pedagogical innovation and academic achievement.</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lastRenderedPageBreak/>
        <w:t>The findings show that The use of educational technology (e.g., digital tools, online platforms) is relatively high (78% use it at least sometimes). Project-based learning and inquiry-based learning are gaining traction but are not yet mainstream. More complex or resource-intensive strategies like the flipped classroom are still rarely used by a majority of teachers. This trend suggests that while there is increasing awareness of innovative pedagogies, the adoption remains uneven due to factors like limited infrastructure, lack of training, and rigid curricula. Teachers are more likely to adopt methods that do not heavily disrupt traditional structures or require extensive digital access. The findings are consistent with existing studies (e.g., Fasanya, 2021; Ibrahim, 2023), which indicate that innovation in Nigerian education is constrained by systemic challenges.</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study revealed a strong positive correlation (r = 0.58, p &lt; 0.001) between leadership support and the implementation of innovative pedagogies. Regression analysis further identified leadership as the strongest predictor of innovation, ahead of resource availability or teacher background. This underscores the pivotal role of instructional leadership in driving change. School leaders who champion innovation through strategic vision, staff development, and policy support create an environment conducive to pedagogical transformation. This finding aligns with transformational leadership theories and supports international evidence (e.g., Fullan, 2007; Leithwood et al., 2020) showing that leadership is a catalyst for school improvement and innovation diffusion.</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The study found a moderate positive correlation (r = 0.44, p &lt; 0.01) and a significant regression coefficient (β = 0.39, p &lt; 0.001), leading to the rejection of the null hypothesis. These results indicate that the use of modern, student-centered teaching strategies correlates with improved student academic outcomes. Innovative pedagogies foster critical thinking, engagement, and deeper learning essential skills in the 21st century. This is consistent with the global research landscape (e.g., OECD, 2018) that supports a shift from rote-based instruction to inquiry-based and experiential learning. However, it is noteworthy that while the correlation is significant, it is not overwhelmingly strong. This suggests that </w:t>
      </w:r>
      <w:r w:rsidRPr="004400B5">
        <w:rPr>
          <w:rFonts w:ascii="Arial" w:eastAsia="Times New Roman" w:hAnsi="Arial" w:cs="Arial"/>
          <w:bCs/>
          <w:sz w:val="24"/>
          <w:szCs w:val="24"/>
        </w:rPr>
        <w:t>other contextual variables</w:t>
      </w:r>
      <w:r w:rsidRPr="004400B5">
        <w:rPr>
          <w:rFonts w:ascii="Arial" w:eastAsia="Times New Roman" w:hAnsi="Arial" w:cs="Arial"/>
          <w:sz w:val="24"/>
          <w:szCs w:val="24"/>
        </w:rPr>
        <w:t xml:space="preserve"> such as socioeconomic factors, teacher motivation, or school resources may mediate the relationship and should be explored in future research.</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lastRenderedPageBreak/>
        <w:t>Conclusion</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This study set out to examine the intersection of innovative pedagogical practices and school leadership in promoting 21st-century education in Nigerian secondary schools. Through a mixed-methods approach involving surveys, interviews, and statistical analysis, the research illuminated key dynamics shaping educational transformation in the country.</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findings reveal that while there is growing awareness and partial adoption of modern teaching strategies such as project-based learning, ICT integration, and collaborative instruction implementation remains inconsistent and context-dependent. Systemic challenges, including limited teacher training, infrastructural deficits, rigid curricula, and large class sizes, hinder widespread pedagogical innovation.</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Importantly, school leadership emerged as a critical enabler of pedagogical reform. Schools with proactive, transformational leaders demonstrated higher levels of innovation, professional development, and student engagement. Leadership played a pivotal role in shaping school culture, motivating teachers, and driving change even in resource-constrained settings.</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study also found a statistically significant relationship between the use of innovative pedagogies and student academic performance. Learners exposed to active, student-centered methods displayed improved critical thinking, creativity, and academic outcomes. This reinforces the global consensus that 21st-century learning demands pedagogical approaches that move beyond rote learning to foster inquiry, collaboration, and adaptability.</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Ultimately, the study concludes that revolutionizing Nigerian education requires not only policy declarations but concrete action across three dimensions: pedagogical innovation, leadership transformation, and systemic reform. The journey to 21st-century learning must be intentional, inclusive, and supported by policy, practice, and political will.</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lastRenderedPageBreak/>
        <w:t>Recommendations</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Based on the study’s findings and supported by the theoretical and empirical literature, the following recommendations are proposed under four thematic areas:</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A. Pedagogical Innovation</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Revise the national curriculum to emphasize inquiry-based learning, critical thinking, digital literacy, and creativity as core outcomes. Integrate innovative pedagogies (e.g., flipped classroom, blended learning, design thinking) into pre-service and in-service teacher training programmes nationwide. Develop instructional toolkits and open-source content platforms to guide teachers in applying 21st-century strategies within the Nigerian context.</w:t>
      </w:r>
    </w:p>
    <w:p w:rsidR="008055E1" w:rsidRPr="004400B5" w:rsidRDefault="008055E1" w:rsidP="008055E1">
      <w:pPr>
        <w:spacing w:before="100" w:beforeAutospacing="1" w:after="100" w:afterAutospacing="1" w:line="360" w:lineRule="auto"/>
        <w:outlineLvl w:val="2"/>
        <w:rPr>
          <w:rFonts w:ascii="Arial" w:eastAsia="Times New Roman" w:hAnsi="Arial" w:cs="Arial"/>
          <w:b/>
          <w:bCs/>
          <w:sz w:val="24"/>
          <w:szCs w:val="24"/>
        </w:rPr>
      </w:pPr>
      <w:r w:rsidRPr="004400B5">
        <w:rPr>
          <w:rFonts w:ascii="Arial" w:eastAsia="Times New Roman" w:hAnsi="Arial" w:cs="Arial"/>
          <w:b/>
          <w:bCs/>
          <w:sz w:val="24"/>
          <w:szCs w:val="24"/>
        </w:rPr>
        <w:t>B. Leadership Transformation</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Institutionalise school leadership development programs focused on change management, instructional leadership, and innovation. Empower principals and school heads with greater autonomy to lead reform initiatives, pilot new approaches, and manage school resources effectively. Create peer learning communities among school leaders to facilitate the sharing of best practices and success models in educational innovation.</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C. Infrastructure and Resources</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Invest in digital infrastructure (computers, internet access, smart classrooms) to support blended and technology-driven teaching, especially in underserved regions. Allocate targeted funding for classroom modernization and the procurement of digital teaching tools and resources. Provide micro-grants or innovation funds for schools to implement locally tailored pedagogical reforms.</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D. Policy and Governance</w:t>
      </w:r>
    </w:p>
    <w:p w:rsidR="008055E1" w:rsidRPr="004400B5" w:rsidRDefault="008055E1" w:rsidP="008055E1">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Establish a national 21st-century learning taskforce under the Ministry of Education to coordinate reforms across curricula, teacher training, and leadership. Mandate </w:t>
      </w:r>
      <w:r w:rsidRPr="004400B5">
        <w:rPr>
          <w:rFonts w:ascii="Arial" w:eastAsia="Times New Roman" w:hAnsi="Arial" w:cs="Arial"/>
          <w:sz w:val="24"/>
          <w:szCs w:val="24"/>
        </w:rPr>
        <w:lastRenderedPageBreak/>
        <w:t>performance indicators related to innovation, student-centered learning, and leadership quality in school evaluations and national assessments. Strengthen monitoring and evaluation systems to track the impact of pedagogical and leadership reforms on student outcomes over time.</w:t>
      </w: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t xml:space="preserve">References </w:t>
      </w:r>
    </w:p>
    <w:p w:rsidR="008055E1" w:rsidRPr="004400B5" w:rsidRDefault="008055E1" w:rsidP="008055E1">
      <w:pPr>
        <w:spacing w:after="0" w:line="360" w:lineRule="auto"/>
        <w:rPr>
          <w:rFonts w:ascii="Arial" w:eastAsia="Times New Roman" w:hAnsi="Arial" w:cs="Arial"/>
          <w:iCs/>
          <w:sz w:val="24"/>
          <w:szCs w:val="24"/>
        </w:rPr>
      </w:pPr>
      <w:r w:rsidRPr="004400B5">
        <w:rPr>
          <w:rFonts w:ascii="Arial" w:eastAsia="Times New Roman" w:hAnsi="Arial" w:cs="Arial"/>
          <w:sz w:val="24"/>
          <w:szCs w:val="24"/>
        </w:rPr>
        <w:t xml:space="preserve">Adebisi, O. (2025). </w:t>
      </w:r>
      <w:r w:rsidRPr="004400B5">
        <w:rPr>
          <w:rFonts w:ascii="Arial" w:eastAsia="Times New Roman" w:hAnsi="Arial" w:cs="Arial"/>
          <w:iCs/>
          <w:sz w:val="24"/>
          <w:szCs w:val="24"/>
        </w:rPr>
        <w:t xml:space="preserve">Leadership for tomorrow: Cultivating changemakers in Nigerian    </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iCs/>
          <w:sz w:val="24"/>
          <w:szCs w:val="24"/>
        </w:rPr>
        <w:t xml:space="preserve">          schools</w:t>
      </w:r>
      <w:r w:rsidRPr="004400B5">
        <w:rPr>
          <w:rFonts w:ascii="Arial" w:eastAsia="Times New Roman" w:hAnsi="Arial" w:cs="Arial"/>
          <w:sz w:val="24"/>
          <w:szCs w:val="24"/>
        </w:rPr>
        <w:t>. Ibadan: Elites Press.</w:t>
      </w:r>
    </w:p>
    <w:p w:rsidR="008055E1" w:rsidRPr="004400B5" w:rsidRDefault="008055E1" w:rsidP="008055E1">
      <w:pPr>
        <w:spacing w:after="0" w:line="360" w:lineRule="auto"/>
        <w:rPr>
          <w:rFonts w:ascii="Arial" w:eastAsia="Times New Roman" w:hAnsi="Arial" w:cs="Arial"/>
          <w:iCs/>
          <w:sz w:val="24"/>
          <w:szCs w:val="24"/>
        </w:rPr>
      </w:pPr>
      <w:r w:rsidRPr="004400B5">
        <w:rPr>
          <w:rFonts w:ascii="Arial" w:eastAsia="Times New Roman" w:hAnsi="Arial" w:cs="Arial"/>
          <w:sz w:val="24"/>
          <w:szCs w:val="24"/>
        </w:rPr>
        <w:t xml:space="preserve">Akinola, T., &amp; Musa, R. (2025). </w:t>
      </w:r>
      <w:r w:rsidRPr="004400B5">
        <w:rPr>
          <w:rFonts w:ascii="Arial" w:eastAsia="Times New Roman" w:hAnsi="Arial" w:cs="Arial"/>
          <w:iCs/>
          <w:sz w:val="24"/>
          <w:szCs w:val="24"/>
        </w:rPr>
        <w:t xml:space="preserve">Leadership redefined: Preparing Nigerian students for </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iCs/>
          <w:sz w:val="24"/>
          <w:szCs w:val="24"/>
        </w:rPr>
        <w:t xml:space="preserve">        the global stage</w:t>
      </w:r>
      <w:r w:rsidRPr="004400B5">
        <w:rPr>
          <w:rFonts w:ascii="Arial" w:eastAsia="Times New Roman" w:hAnsi="Arial" w:cs="Arial"/>
          <w:sz w:val="24"/>
          <w:szCs w:val="24"/>
        </w:rPr>
        <w:t>. Lagos: Future Front Publishers.</w:t>
      </w:r>
    </w:p>
    <w:p w:rsidR="008055E1" w:rsidRPr="004400B5" w:rsidRDefault="008055E1" w:rsidP="008055E1">
      <w:pPr>
        <w:spacing w:after="0" w:line="360" w:lineRule="auto"/>
        <w:rPr>
          <w:rFonts w:ascii="Arial" w:eastAsia="Times New Roman" w:hAnsi="Arial" w:cs="Arial"/>
          <w:iCs/>
          <w:sz w:val="24"/>
          <w:szCs w:val="24"/>
        </w:rPr>
      </w:pPr>
      <w:r w:rsidRPr="004400B5">
        <w:rPr>
          <w:rFonts w:ascii="Arial" w:eastAsia="Times New Roman" w:hAnsi="Arial" w:cs="Arial"/>
          <w:sz w:val="24"/>
          <w:szCs w:val="24"/>
        </w:rPr>
        <w:t xml:space="preserve">Ayodele, K. (2022). </w:t>
      </w:r>
      <w:r w:rsidRPr="004400B5">
        <w:rPr>
          <w:rFonts w:ascii="Arial" w:eastAsia="Times New Roman" w:hAnsi="Arial" w:cs="Arial"/>
          <w:iCs/>
          <w:sz w:val="24"/>
          <w:szCs w:val="24"/>
        </w:rPr>
        <w:t xml:space="preserve">Rethinking cognition: From memorization to problem-solving in </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iCs/>
          <w:sz w:val="24"/>
          <w:szCs w:val="24"/>
        </w:rPr>
        <w:t xml:space="preserve">          Nigerian schools</w:t>
      </w:r>
      <w:r w:rsidRPr="004400B5">
        <w:rPr>
          <w:rFonts w:ascii="Arial" w:eastAsia="Times New Roman" w:hAnsi="Arial" w:cs="Arial"/>
          <w:sz w:val="24"/>
          <w:szCs w:val="24"/>
        </w:rPr>
        <w:t>. Ilorin Journal of Education, 18(2), 50–58.</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sz w:val="24"/>
          <w:szCs w:val="24"/>
        </w:rPr>
        <w:t xml:space="preserve">Bello, S., &amp; Hassan, L. (2021). </w:t>
      </w:r>
      <w:r w:rsidRPr="004400B5">
        <w:rPr>
          <w:rFonts w:ascii="Arial" w:eastAsia="Times New Roman" w:hAnsi="Arial" w:cs="Arial"/>
          <w:iCs/>
          <w:sz w:val="24"/>
          <w:szCs w:val="24"/>
        </w:rPr>
        <w:t>Education in the digital age: The Nigerian imperative</w:t>
      </w:r>
      <w:r w:rsidRPr="004400B5">
        <w:rPr>
          <w:rFonts w:ascii="Arial" w:eastAsia="Times New Roman" w:hAnsi="Arial" w:cs="Arial"/>
          <w:sz w:val="24"/>
          <w:szCs w:val="24"/>
        </w:rPr>
        <w:t xml:space="preserve">. </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sz w:val="24"/>
          <w:szCs w:val="24"/>
        </w:rPr>
        <w:t xml:space="preserve">          Nigerian Journal of Contemporary Pedagogy, 10(1), 25–33.</w:t>
      </w:r>
    </w:p>
    <w:p w:rsidR="008055E1" w:rsidRPr="004400B5" w:rsidRDefault="008055E1" w:rsidP="008055E1">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Chukwuemeka, J., &amp; Idris, F. (2022). ICT integration and equity in Nigerian classrooms. </w:t>
      </w:r>
    </w:p>
    <w:p w:rsidR="008055E1" w:rsidRPr="004400B5" w:rsidRDefault="008055E1" w:rsidP="008055E1">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           </w:t>
      </w:r>
      <w:r w:rsidRPr="004400B5">
        <w:rPr>
          <w:rFonts w:ascii="Arial" w:eastAsia="Times New Roman" w:hAnsi="Arial" w:cs="Arial"/>
          <w:iCs/>
          <w:sz w:val="24"/>
          <w:szCs w:val="24"/>
        </w:rPr>
        <w:t>Journal of Educational Technology and Innovation</w:t>
      </w:r>
      <w:r w:rsidRPr="004400B5">
        <w:rPr>
          <w:rFonts w:ascii="Arial" w:eastAsia="Times New Roman" w:hAnsi="Arial" w:cs="Arial"/>
          <w:sz w:val="24"/>
          <w:szCs w:val="24"/>
        </w:rPr>
        <w:t>, 14(2), 43–52.</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sz w:val="24"/>
          <w:szCs w:val="24"/>
        </w:rPr>
        <w:t xml:space="preserve">Ibrahim, M., &amp; Eze, O. (2022). Experiential learning in Nigerian secondary schools. </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sz w:val="24"/>
          <w:szCs w:val="24"/>
        </w:rPr>
        <w:t xml:space="preserve">         </w:t>
      </w:r>
      <w:r w:rsidRPr="004400B5">
        <w:rPr>
          <w:rFonts w:ascii="Arial" w:eastAsia="Times New Roman" w:hAnsi="Arial" w:cs="Arial"/>
          <w:iCs/>
          <w:sz w:val="24"/>
          <w:szCs w:val="24"/>
        </w:rPr>
        <w:t>Nigerian Journal of Active Learning</w:t>
      </w:r>
      <w:r w:rsidRPr="004400B5">
        <w:rPr>
          <w:rFonts w:ascii="Arial" w:eastAsia="Times New Roman" w:hAnsi="Arial" w:cs="Arial"/>
          <w:sz w:val="24"/>
          <w:szCs w:val="24"/>
        </w:rPr>
        <w:t>, 11(1), 38–47.</w:t>
      </w:r>
    </w:p>
    <w:p w:rsidR="008055E1" w:rsidRPr="004400B5" w:rsidRDefault="008055E1" w:rsidP="008055E1">
      <w:pPr>
        <w:spacing w:after="0" w:line="360" w:lineRule="auto"/>
        <w:rPr>
          <w:rFonts w:ascii="Arial" w:eastAsia="Times New Roman" w:hAnsi="Arial" w:cs="Arial"/>
          <w:iCs/>
          <w:sz w:val="24"/>
          <w:szCs w:val="24"/>
        </w:rPr>
      </w:pPr>
      <w:r w:rsidRPr="004400B5">
        <w:rPr>
          <w:rFonts w:ascii="Arial" w:eastAsia="Times New Roman" w:hAnsi="Arial" w:cs="Arial"/>
          <w:sz w:val="24"/>
          <w:szCs w:val="24"/>
        </w:rPr>
        <w:t xml:space="preserve">Joseph, E., &amp; Matthew, T. (2019). </w:t>
      </w:r>
      <w:r w:rsidRPr="004400B5">
        <w:rPr>
          <w:rFonts w:ascii="Arial" w:eastAsia="Times New Roman" w:hAnsi="Arial" w:cs="Arial"/>
          <w:iCs/>
          <w:sz w:val="24"/>
          <w:szCs w:val="24"/>
        </w:rPr>
        <w:t xml:space="preserve">The empowered classroom: Teacher as a change </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iCs/>
          <w:sz w:val="24"/>
          <w:szCs w:val="24"/>
        </w:rPr>
        <w:t xml:space="preserve">         agent</w:t>
      </w:r>
      <w:r w:rsidRPr="004400B5">
        <w:rPr>
          <w:rFonts w:ascii="Arial" w:eastAsia="Times New Roman" w:hAnsi="Arial" w:cs="Arial"/>
          <w:sz w:val="24"/>
          <w:szCs w:val="24"/>
        </w:rPr>
        <w:t>. Port Harcourt: Bright Horizon.</w:t>
      </w:r>
    </w:p>
    <w:p w:rsidR="008055E1" w:rsidRPr="004400B5" w:rsidRDefault="008055E1" w:rsidP="008055E1">
      <w:pPr>
        <w:spacing w:after="0" w:line="360" w:lineRule="auto"/>
        <w:rPr>
          <w:rFonts w:ascii="Arial" w:eastAsia="Times New Roman" w:hAnsi="Arial" w:cs="Arial"/>
          <w:iCs/>
          <w:sz w:val="24"/>
          <w:szCs w:val="24"/>
        </w:rPr>
      </w:pPr>
      <w:r w:rsidRPr="004400B5">
        <w:rPr>
          <w:rFonts w:ascii="Arial" w:eastAsia="Times New Roman" w:hAnsi="Arial" w:cs="Arial"/>
          <w:sz w:val="24"/>
          <w:szCs w:val="24"/>
        </w:rPr>
        <w:t xml:space="preserve">Nwachukwu, A., &amp; Okeke, C. (2021). </w:t>
      </w:r>
      <w:r w:rsidRPr="004400B5">
        <w:rPr>
          <w:rFonts w:ascii="Arial" w:eastAsia="Times New Roman" w:hAnsi="Arial" w:cs="Arial"/>
          <w:iCs/>
          <w:sz w:val="24"/>
          <w:szCs w:val="24"/>
        </w:rPr>
        <w:t xml:space="preserve">STEM for Nigeria’s future: Challenges and </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iCs/>
          <w:sz w:val="24"/>
          <w:szCs w:val="24"/>
        </w:rPr>
        <w:t xml:space="preserve">            opportunities</w:t>
      </w:r>
      <w:r w:rsidRPr="004400B5">
        <w:rPr>
          <w:rFonts w:ascii="Arial" w:eastAsia="Times New Roman" w:hAnsi="Arial" w:cs="Arial"/>
          <w:sz w:val="24"/>
          <w:szCs w:val="24"/>
        </w:rPr>
        <w:t>. Enugu: STEMEd Publications.</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sz w:val="24"/>
          <w:szCs w:val="24"/>
        </w:rPr>
        <w:t xml:space="preserve">Nwankwo, M., &amp; Ayoola, A. (2023). Innovating from the margins: Challenges as </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sz w:val="24"/>
          <w:szCs w:val="24"/>
        </w:rPr>
        <w:t xml:space="preserve">           enablers in Nigerian education reform. </w:t>
      </w:r>
      <w:r w:rsidRPr="004400B5">
        <w:rPr>
          <w:rFonts w:ascii="Arial" w:eastAsia="Times New Roman" w:hAnsi="Arial" w:cs="Arial"/>
          <w:iCs/>
          <w:sz w:val="24"/>
          <w:szCs w:val="24"/>
        </w:rPr>
        <w:t>African Review of Educational Reform</w:t>
      </w:r>
      <w:r w:rsidRPr="004400B5">
        <w:rPr>
          <w:rFonts w:ascii="Arial" w:eastAsia="Times New Roman" w:hAnsi="Arial" w:cs="Arial"/>
          <w:sz w:val="24"/>
          <w:szCs w:val="24"/>
        </w:rPr>
        <w:t xml:space="preserve">,  </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sz w:val="24"/>
          <w:szCs w:val="24"/>
        </w:rPr>
        <w:t xml:space="preserve">           9(1), 59–70.</w:t>
      </w:r>
    </w:p>
    <w:p w:rsidR="008055E1" w:rsidRPr="004400B5" w:rsidRDefault="008055E1" w:rsidP="008055E1">
      <w:pPr>
        <w:spacing w:after="0" w:line="360" w:lineRule="auto"/>
        <w:rPr>
          <w:rFonts w:ascii="Arial" w:eastAsia="Times New Roman" w:hAnsi="Arial" w:cs="Arial"/>
          <w:iCs/>
          <w:sz w:val="24"/>
          <w:szCs w:val="24"/>
        </w:rPr>
      </w:pPr>
      <w:r w:rsidRPr="004400B5">
        <w:rPr>
          <w:rFonts w:ascii="Arial" w:eastAsia="Times New Roman" w:hAnsi="Arial" w:cs="Arial"/>
          <w:sz w:val="24"/>
          <w:szCs w:val="24"/>
        </w:rPr>
        <w:t xml:space="preserve">Obiekwe, N., &amp; Salami, D. (2024). </w:t>
      </w:r>
      <w:r w:rsidRPr="004400B5">
        <w:rPr>
          <w:rFonts w:ascii="Arial" w:eastAsia="Times New Roman" w:hAnsi="Arial" w:cs="Arial"/>
          <w:iCs/>
          <w:sz w:val="24"/>
          <w:szCs w:val="24"/>
        </w:rPr>
        <w:t xml:space="preserve">Pedagogical innovation in context: The Nigerian </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iCs/>
          <w:sz w:val="24"/>
          <w:szCs w:val="24"/>
        </w:rPr>
        <w:t xml:space="preserve">           classroom experience</w:t>
      </w:r>
      <w:r w:rsidRPr="004400B5">
        <w:rPr>
          <w:rFonts w:ascii="Arial" w:eastAsia="Times New Roman" w:hAnsi="Arial" w:cs="Arial"/>
          <w:sz w:val="24"/>
          <w:szCs w:val="24"/>
        </w:rPr>
        <w:t>. Abuja: Sunrise Academic Press.</w:t>
      </w:r>
    </w:p>
    <w:p w:rsidR="008055E1" w:rsidRPr="004400B5" w:rsidRDefault="008055E1" w:rsidP="008055E1">
      <w:pPr>
        <w:spacing w:after="0" w:line="360" w:lineRule="auto"/>
        <w:rPr>
          <w:rFonts w:ascii="Arial" w:eastAsia="Times New Roman" w:hAnsi="Arial" w:cs="Arial"/>
          <w:iCs/>
          <w:sz w:val="24"/>
          <w:szCs w:val="24"/>
        </w:rPr>
      </w:pPr>
      <w:r w:rsidRPr="004400B5">
        <w:rPr>
          <w:rFonts w:ascii="Arial" w:eastAsia="Times New Roman" w:hAnsi="Arial" w:cs="Arial"/>
          <w:sz w:val="24"/>
          <w:szCs w:val="24"/>
        </w:rPr>
        <w:t xml:space="preserve">Ogundele, A., &amp; Abubakar, M. (2023). Centering the learner in Nigerian education. </w:t>
      </w:r>
      <w:r w:rsidRPr="004400B5">
        <w:rPr>
          <w:rFonts w:ascii="Arial" w:eastAsia="Times New Roman" w:hAnsi="Arial" w:cs="Arial"/>
          <w:iCs/>
          <w:sz w:val="24"/>
          <w:szCs w:val="24"/>
        </w:rPr>
        <w:t xml:space="preserve">West </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iCs/>
          <w:sz w:val="24"/>
          <w:szCs w:val="24"/>
        </w:rPr>
        <w:t xml:space="preserve">           African Journal of Pedagogy</w:t>
      </w:r>
      <w:r w:rsidRPr="004400B5">
        <w:rPr>
          <w:rFonts w:ascii="Arial" w:eastAsia="Times New Roman" w:hAnsi="Arial" w:cs="Arial"/>
          <w:sz w:val="24"/>
          <w:szCs w:val="24"/>
        </w:rPr>
        <w:t>, 7(1), 35–41.</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sz w:val="24"/>
          <w:szCs w:val="24"/>
        </w:rPr>
        <w:t xml:space="preserve">Okonkwo, U., &amp; Adebayo, R. (2022). Transforming passive learners into creators. </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sz w:val="24"/>
          <w:szCs w:val="24"/>
        </w:rPr>
        <w:t xml:space="preserve">           </w:t>
      </w:r>
      <w:r w:rsidRPr="004400B5">
        <w:rPr>
          <w:rFonts w:ascii="Arial" w:eastAsia="Times New Roman" w:hAnsi="Arial" w:cs="Arial"/>
          <w:iCs/>
          <w:sz w:val="24"/>
          <w:szCs w:val="24"/>
        </w:rPr>
        <w:t>Educational Renaissance Journal</w:t>
      </w:r>
      <w:r w:rsidRPr="004400B5">
        <w:rPr>
          <w:rFonts w:ascii="Arial" w:eastAsia="Times New Roman" w:hAnsi="Arial" w:cs="Arial"/>
          <w:sz w:val="24"/>
          <w:szCs w:val="24"/>
        </w:rPr>
        <w:t>, 6(2), 43–50.</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sz w:val="24"/>
          <w:szCs w:val="24"/>
        </w:rPr>
        <w:lastRenderedPageBreak/>
        <w:t xml:space="preserve">Olalekan, B. (2024). </w:t>
      </w:r>
      <w:r w:rsidRPr="004400B5">
        <w:rPr>
          <w:rFonts w:ascii="Arial" w:eastAsia="Times New Roman" w:hAnsi="Arial" w:cs="Arial"/>
          <w:iCs/>
          <w:sz w:val="24"/>
          <w:szCs w:val="24"/>
        </w:rPr>
        <w:t>Digital fluency in Nigerian schools: From basics to proficiency</w:t>
      </w:r>
      <w:r w:rsidRPr="004400B5">
        <w:rPr>
          <w:rFonts w:ascii="Arial" w:eastAsia="Times New Roman" w:hAnsi="Arial" w:cs="Arial"/>
          <w:sz w:val="24"/>
          <w:szCs w:val="24"/>
        </w:rPr>
        <w:t xml:space="preserve">. </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sz w:val="24"/>
          <w:szCs w:val="24"/>
        </w:rPr>
        <w:t xml:space="preserve">           Lagos: New Leaf Publishers.</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sz w:val="24"/>
          <w:szCs w:val="24"/>
        </w:rPr>
        <w:t xml:space="preserve">Olowu, S., &amp; Yusuf, H. (2023). </w:t>
      </w:r>
      <w:r w:rsidRPr="004400B5">
        <w:rPr>
          <w:rFonts w:ascii="Arial" w:eastAsia="Times New Roman" w:hAnsi="Arial" w:cs="Arial"/>
          <w:iCs/>
          <w:sz w:val="24"/>
          <w:szCs w:val="24"/>
        </w:rPr>
        <w:t>The Nigerian learner in a globalized world</w:t>
      </w:r>
      <w:r w:rsidRPr="004400B5">
        <w:rPr>
          <w:rFonts w:ascii="Arial" w:eastAsia="Times New Roman" w:hAnsi="Arial" w:cs="Arial"/>
          <w:sz w:val="24"/>
          <w:szCs w:val="24"/>
        </w:rPr>
        <w:t xml:space="preserve">. Zaria: Talent </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sz w:val="24"/>
          <w:szCs w:val="24"/>
        </w:rPr>
        <w:t xml:space="preserve">           Builders Press.</w:t>
      </w:r>
    </w:p>
    <w:p w:rsidR="008055E1" w:rsidRPr="004400B5" w:rsidRDefault="008055E1" w:rsidP="008055E1">
      <w:pPr>
        <w:spacing w:after="0" w:line="360" w:lineRule="auto"/>
        <w:rPr>
          <w:rFonts w:ascii="Arial" w:eastAsia="Times New Roman" w:hAnsi="Arial" w:cs="Arial"/>
          <w:iCs/>
          <w:sz w:val="24"/>
          <w:szCs w:val="24"/>
        </w:rPr>
      </w:pPr>
      <w:r w:rsidRPr="004400B5">
        <w:rPr>
          <w:rFonts w:ascii="Arial" w:eastAsia="Times New Roman" w:hAnsi="Arial" w:cs="Arial"/>
          <w:sz w:val="24"/>
          <w:szCs w:val="24"/>
        </w:rPr>
        <w:t xml:space="preserve">Ojo, B., &amp; Nwankwo, E. (2023). </w:t>
      </w:r>
      <w:r w:rsidRPr="004400B5">
        <w:rPr>
          <w:rFonts w:ascii="Arial" w:eastAsia="Times New Roman" w:hAnsi="Arial" w:cs="Arial"/>
          <w:iCs/>
          <w:sz w:val="24"/>
          <w:szCs w:val="24"/>
        </w:rPr>
        <w:t xml:space="preserve">Employability beyond grades: Life skills for Nigerian </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iCs/>
          <w:sz w:val="24"/>
          <w:szCs w:val="24"/>
        </w:rPr>
        <w:t xml:space="preserve">          youth</w:t>
      </w:r>
      <w:r w:rsidRPr="004400B5">
        <w:rPr>
          <w:rFonts w:ascii="Arial" w:eastAsia="Times New Roman" w:hAnsi="Arial" w:cs="Arial"/>
          <w:sz w:val="24"/>
          <w:szCs w:val="24"/>
        </w:rPr>
        <w:t>. Ibadan: Life Ready Press.</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sz w:val="24"/>
          <w:szCs w:val="24"/>
        </w:rPr>
        <w:t xml:space="preserve">Okwelle, P. (2024). </w:t>
      </w:r>
      <w:r w:rsidRPr="004400B5">
        <w:rPr>
          <w:rFonts w:ascii="Arial" w:eastAsia="Times New Roman" w:hAnsi="Arial" w:cs="Arial"/>
          <w:iCs/>
          <w:sz w:val="24"/>
          <w:szCs w:val="24"/>
        </w:rPr>
        <w:t>Crisis in curriculum: Reforming Nigeria’s educational content</w:t>
      </w:r>
      <w:r w:rsidRPr="004400B5">
        <w:rPr>
          <w:rFonts w:ascii="Arial" w:eastAsia="Times New Roman" w:hAnsi="Arial" w:cs="Arial"/>
          <w:sz w:val="24"/>
          <w:szCs w:val="24"/>
        </w:rPr>
        <w:t xml:space="preserve">. Port </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sz w:val="24"/>
          <w:szCs w:val="24"/>
        </w:rPr>
        <w:t xml:space="preserve">          Harcourt: Educational Pathways.</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sz w:val="24"/>
          <w:szCs w:val="24"/>
        </w:rPr>
        <w:t xml:space="preserve">Simon, K. (2022). </w:t>
      </w:r>
      <w:r w:rsidRPr="004400B5">
        <w:rPr>
          <w:rFonts w:ascii="Arial" w:eastAsia="Times New Roman" w:hAnsi="Arial" w:cs="Arial"/>
          <w:iCs/>
          <w:sz w:val="24"/>
          <w:szCs w:val="24"/>
        </w:rPr>
        <w:t>Educational leadership in the age of complexity</w:t>
      </w:r>
      <w:r w:rsidRPr="004400B5">
        <w:rPr>
          <w:rFonts w:ascii="Arial" w:eastAsia="Times New Roman" w:hAnsi="Arial" w:cs="Arial"/>
          <w:sz w:val="24"/>
          <w:szCs w:val="24"/>
        </w:rPr>
        <w:t xml:space="preserve">. Nigerian Journal of </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sz w:val="24"/>
          <w:szCs w:val="24"/>
        </w:rPr>
        <w:t xml:space="preserve">         Leadership in Education, 12(2), 89–98.</w:t>
      </w:r>
    </w:p>
    <w:p w:rsidR="008055E1" w:rsidRPr="004400B5" w:rsidRDefault="008055E1" w:rsidP="008055E1">
      <w:pPr>
        <w:spacing w:after="0" w:line="360" w:lineRule="auto"/>
        <w:rPr>
          <w:rFonts w:ascii="Arial" w:eastAsia="Times New Roman" w:hAnsi="Arial" w:cs="Arial"/>
          <w:sz w:val="24"/>
          <w:szCs w:val="24"/>
        </w:rPr>
      </w:pPr>
      <w:r w:rsidRPr="004400B5">
        <w:rPr>
          <w:rFonts w:ascii="Arial" w:eastAsia="Times New Roman" w:hAnsi="Arial" w:cs="Arial"/>
          <w:sz w:val="24"/>
          <w:szCs w:val="24"/>
        </w:rPr>
        <w:t xml:space="preserve">UNESCO. (2014). </w:t>
      </w:r>
      <w:r w:rsidRPr="004400B5">
        <w:rPr>
          <w:rFonts w:ascii="Arial" w:eastAsia="Times New Roman" w:hAnsi="Arial" w:cs="Arial"/>
          <w:iCs/>
          <w:sz w:val="24"/>
          <w:szCs w:val="24"/>
        </w:rPr>
        <w:t>Teaching and learning: Achieving quality for all</w:t>
      </w:r>
      <w:r w:rsidRPr="004400B5">
        <w:rPr>
          <w:rFonts w:ascii="Arial" w:eastAsia="Times New Roman" w:hAnsi="Arial" w:cs="Arial"/>
          <w:sz w:val="24"/>
          <w:szCs w:val="24"/>
        </w:rPr>
        <w:t>. Paris: UNESCO.</w:t>
      </w:r>
    </w:p>
    <w:p w:rsidR="008055E1" w:rsidRPr="004400B5" w:rsidRDefault="008055E1" w:rsidP="008055E1">
      <w:pPr>
        <w:spacing w:after="0" w:line="240" w:lineRule="auto"/>
        <w:rPr>
          <w:rFonts w:ascii="Arial" w:eastAsia="Times New Roman" w:hAnsi="Arial" w:cs="Arial"/>
          <w:sz w:val="24"/>
          <w:szCs w:val="24"/>
        </w:rPr>
      </w:pPr>
    </w:p>
    <w:p w:rsidR="008055E1" w:rsidRPr="004400B5" w:rsidRDefault="008055E1" w:rsidP="008055E1">
      <w:pPr>
        <w:rPr>
          <w:rFonts w:ascii="Arial" w:eastAsia="Times New Roman" w:hAnsi="Arial" w:cs="Arial"/>
          <w:b/>
          <w:bCs/>
          <w:sz w:val="24"/>
          <w:szCs w:val="24"/>
        </w:rPr>
      </w:pPr>
      <w:r w:rsidRPr="004400B5">
        <w:rPr>
          <w:rFonts w:ascii="Arial" w:eastAsia="Times New Roman" w:hAnsi="Arial" w:cs="Arial"/>
          <w:b/>
          <w:bCs/>
          <w:sz w:val="24"/>
          <w:szCs w:val="24"/>
        </w:rPr>
        <w:br w:type="page"/>
      </w:r>
    </w:p>
    <w:p w:rsidR="00D27934" w:rsidRDefault="00B41BEB">
      <w:bookmarkStart w:id="1" w:name="_GoBack"/>
      <w:bookmarkEnd w:id="1"/>
    </w:p>
    <w:sectPr w:rsidR="00D2793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BEB" w:rsidRDefault="00B41BEB" w:rsidP="008055E1">
      <w:pPr>
        <w:spacing w:after="0" w:line="240" w:lineRule="auto"/>
      </w:pPr>
      <w:r>
        <w:separator/>
      </w:r>
    </w:p>
  </w:endnote>
  <w:endnote w:type="continuationSeparator" w:id="0">
    <w:p w:rsidR="00B41BEB" w:rsidRDefault="00B41BEB" w:rsidP="00805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0968420"/>
      <w:docPartObj>
        <w:docPartGallery w:val="Page Numbers (Bottom of Page)"/>
        <w:docPartUnique/>
      </w:docPartObj>
    </w:sdtPr>
    <w:sdtEndPr>
      <w:rPr>
        <w:noProof/>
      </w:rPr>
    </w:sdtEndPr>
    <w:sdtContent>
      <w:p w:rsidR="008055E1" w:rsidRDefault="008055E1">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rsidR="008055E1" w:rsidRDefault="008055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BEB" w:rsidRDefault="00B41BEB" w:rsidP="008055E1">
      <w:pPr>
        <w:spacing w:after="0" w:line="240" w:lineRule="auto"/>
      </w:pPr>
      <w:r>
        <w:separator/>
      </w:r>
    </w:p>
  </w:footnote>
  <w:footnote w:type="continuationSeparator" w:id="0">
    <w:p w:rsidR="00B41BEB" w:rsidRDefault="00B41BEB" w:rsidP="00805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721AE0"/>
    <w:multiLevelType w:val="multilevel"/>
    <w:tmpl w:val="5096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337FC1"/>
    <w:multiLevelType w:val="multilevel"/>
    <w:tmpl w:val="BF6C3090"/>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EB025D"/>
    <w:multiLevelType w:val="multilevel"/>
    <w:tmpl w:val="09B0FAE4"/>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731D3A"/>
    <w:multiLevelType w:val="hybridMultilevel"/>
    <w:tmpl w:val="02CEF48C"/>
    <w:lvl w:ilvl="0" w:tplc="95D0F7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494237"/>
    <w:multiLevelType w:val="multilevel"/>
    <w:tmpl w:val="9746D560"/>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5E1"/>
    <w:rsid w:val="008055E1"/>
    <w:rsid w:val="00B41BEB"/>
    <w:rsid w:val="00EC6E45"/>
    <w:rsid w:val="00FE6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4A254C-DAC4-48D9-B7C6-6325EBB76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5E1"/>
    <w:pPr>
      <w:ind w:left="720"/>
      <w:contextualSpacing/>
    </w:pPr>
  </w:style>
  <w:style w:type="paragraph" w:customStyle="1" w:styleId="paragraph">
    <w:name w:val="paragraph"/>
    <w:basedOn w:val="Normal"/>
    <w:rsid w:val="008055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055E1"/>
  </w:style>
  <w:style w:type="table" w:styleId="TableGrid">
    <w:name w:val="Table Grid"/>
    <w:basedOn w:val="TableNormal"/>
    <w:uiPriority w:val="39"/>
    <w:rsid w:val="00805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55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5E1"/>
  </w:style>
  <w:style w:type="paragraph" w:styleId="Footer">
    <w:name w:val="footer"/>
    <w:basedOn w:val="Normal"/>
    <w:link w:val="FooterChar"/>
    <w:uiPriority w:val="99"/>
    <w:unhideWhenUsed/>
    <w:rsid w:val="008055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4644</Words>
  <Characters>26476</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Ajuruchukwu Obi</dc:creator>
  <cp:keywords/>
  <dc:description/>
  <cp:lastModifiedBy>Ajuruchukwu Obi</cp:lastModifiedBy>
  <cp:revision>1</cp:revision>
  <dcterms:created xsi:type="dcterms:W3CDTF">2026-07-04T20:29:00Z</dcterms:created>
  <dcterms:modified xsi:type="dcterms:W3CDTF">2026-07-04T20:30:00Z</dcterms:modified>
</cp:coreProperties>
</file>